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E359EB">
      <w:pPr>
        <w:pStyle w:val="17"/>
        <w:rPr>
          <w:color w:val="auto"/>
          <w:highlight w:val="none"/>
        </w:rPr>
      </w:pPr>
      <w:r>
        <w:rPr>
          <w:rFonts w:hint="eastAsia"/>
          <w:color w:val="auto"/>
          <w:highlight w:val="none"/>
        </w:rPr>
        <w:t xml:space="preserve"> </w:t>
      </w:r>
    </w:p>
    <w:p w14:paraId="3291AEB6">
      <w:pPr>
        <w:spacing w:line="360" w:lineRule="auto"/>
        <w:jc w:val="left"/>
        <w:rPr>
          <w:rFonts w:asciiTheme="minorEastAsia" w:hAnsiTheme="minorEastAsia"/>
          <w:color w:val="auto"/>
          <w:sz w:val="60"/>
          <w:szCs w:val="60"/>
          <w:highlight w:val="none"/>
        </w:rPr>
      </w:pPr>
    </w:p>
    <w:p w14:paraId="2826A235">
      <w:pPr>
        <w:spacing w:line="360" w:lineRule="auto"/>
        <w:jc w:val="left"/>
        <w:rPr>
          <w:rFonts w:asciiTheme="minorEastAsia" w:hAnsiTheme="minorEastAsia"/>
          <w:color w:val="auto"/>
          <w:sz w:val="60"/>
          <w:szCs w:val="60"/>
          <w:highlight w:val="none"/>
        </w:rPr>
      </w:pPr>
    </w:p>
    <w:p w14:paraId="6B188BFF">
      <w:pPr>
        <w:spacing w:line="360" w:lineRule="auto"/>
        <w:jc w:val="left"/>
        <w:rPr>
          <w:rFonts w:asciiTheme="minorEastAsia" w:hAnsiTheme="minorEastAsia"/>
          <w:color w:val="auto"/>
          <w:sz w:val="60"/>
          <w:szCs w:val="60"/>
          <w:highlight w:val="none"/>
        </w:rPr>
      </w:pPr>
    </w:p>
    <w:p w14:paraId="29CC25C1">
      <w:pPr>
        <w:spacing w:after="240" w:line="720" w:lineRule="auto"/>
        <w:jc w:val="center"/>
        <w:rPr>
          <w:rFonts w:asciiTheme="minorEastAsia" w:hAnsiTheme="minorEastAsia"/>
          <w:b/>
          <w:color w:val="auto"/>
          <w:sz w:val="60"/>
          <w:szCs w:val="60"/>
          <w:highlight w:val="none"/>
        </w:rPr>
      </w:pPr>
      <w:r>
        <w:rPr>
          <w:rFonts w:hint="eastAsia" w:asciiTheme="minorEastAsia" w:hAnsiTheme="minorEastAsia"/>
          <w:b/>
          <w:color w:val="auto"/>
          <w:spacing w:val="114"/>
          <w:kern w:val="0"/>
          <w:sz w:val="60"/>
          <w:szCs w:val="60"/>
          <w:highlight w:val="none"/>
          <w:fitText w:val="7224" w:id="-1483055871"/>
        </w:rPr>
        <w:t>常州市政府采购项</w:t>
      </w:r>
      <w:r>
        <w:rPr>
          <w:rFonts w:hint="eastAsia" w:asciiTheme="minorEastAsia" w:hAnsiTheme="minorEastAsia"/>
          <w:b/>
          <w:color w:val="auto"/>
          <w:spacing w:val="0"/>
          <w:kern w:val="0"/>
          <w:sz w:val="60"/>
          <w:szCs w:val="60"/>
          <w:highlight w:val="none"/>
          <w:fitText w:val="7224" w:id="-1483055871"/>
        </w:rPr>
        <w:t>目</w:t>
      </w:r>
    </w:p>
    <w:p w14:paraId="38B1CFB3">
      <w:pPr>
        <w:spacing w:after="240" w:line="720" w:lineRule="auto"/>
        <w:jc w:val="center"/>
        <w:rPr>
          <w:rFonts w:asciiTheme="minorEastAsia" w:hAnsiTheme="minorEastAsia"/>
          <w:b/>
          <w:color w:val="auto"/>
          <w:sz w:val="60"/>
          <w:szCs w:val="60"/>
          <w:highlight w:val="none"/>
        </w:rPr>
      </w:pPr>
      <w:r>
        <w:rPr>
          <w:rFonts w:hint="eastAsia" w:asciiTheme="minorEastAsia" w:hAnsiTheme="minorEastAsia"/>
          <w:b/>
          <w:color w:val="auto"/>
          <w:spacing w:val="151"/>
          <w:kern w:val="0"/>
          <w:sz w:val="60"/>
          <w:szCs w:val="60"/>
          <w:highlight w:val="none"/>
          <w:fitText w:val="6020" w:id="-1483055616"/>
        </w:rPr>
        <w:t>竞争性磋商文</w:t>
      </w:r>
      <w:r>
        <w:rPr>
          <w:rFonts w:hint="eastAsia" w:asciiTheme="minorEastAsia" w:hAnsiTheme="minorEastAsia"/>
          <w:b/>
          <w:color w:val="auto"/>
          <w:spacing w:val="4"/>
          <w:kern w:val="0"/>
          <w:sz w:val="60"/>
          <w:szCs w:val="60"/>
          <w:highlight w:val="none"/>
          <w:fitText w:val="6020" w:id="-1483055616"/>
        </w:rPr>
        <w:t>件</w:t>
      </w:r>
    </w:p>
    <w:p w14:paraId="0AFB08B3">
      <w:pPr>
        <w:spacing w:line="360" w:lineRule="auto"/>
        <w:jc w:val="left"/>
        <w:rPr>
          <w:rFonts w:asciiTheme="minorEastAsia" w:hAnsiTheme="minorEastAsia"/>
          <w:color w:val="auto"/>
          <w:sz w:val="60"/>
          <w:szCs w:val="60"/>
          <w:highlight w:val="none"/>
        </w:rPr>
      </w:pPr>
    </w:p>
    <w:p w14:paraId="481AB1A5">
      <w:pPr>
        <w:pStyle w:val="8"/>
        <w:rPr>
          <w:color w:val="auto"/>
          <w:highlight w:val="none"/>
        </w:rPr>
      </w:pPr>
    </w:p>
    <w:p w14:paraId="5E6F40E3">
      <w:pPr>
        <w:spacing w:line="360" w:lineRule="auto"/>
        <w:jc w:val="left"/>
        <w:rPr>
          <w:rFonts w:asciiTheme="minorEastAsia" w:hAnsiTheme="minorEastAsia"/>
          <w:color w:val="auto"/>
          <w:sz w:val="60"/>
          <w:szCs w:val="60"/>
          <w:highlight w:val="none"/>
        </w:rPr>
      </w:pPr>
    </w:p>
    <w:p w14:paraId="7D942CB2">
      <w:pPr>
        <w:tabs>
          <w:tab w:val="left" w:pos="5609"/>
        </w:tabs>
        <w:spacing w:line="360" w:lineRule="auto"/>
        <w:jc w:val="left"/>
        <w:rPr>
          <w:rFonts w:asciiTheme="minorEastAsia" w:hAnsiTheme="minorEastAsia"/>
          <w:bCs/>
          <w:color w:val="auto"/>
          <w:sz w:val="30"/>
          <w:szCs w:val="30"/>
          <w:highlight w:val="none"/>
        </w:rPr>
      </w:pPr>
      <w:r>
        <w:rPr>
          <w:rFonts w:asciiTheme="minorEastAsia" w:hAnsiTheme="minorEastAsia"/>
          <w:bCs/>
          <w:color w:val="auto"/>
          <w:sz w:val="30"/>
          <w:szCs w:val="30"/>
          <w:highlight w:val="none"/>
        </w:rPr>
        <w:t>项目名称：</w:t>
      </w:r>
      <w:r>
        <w:rPr>
          <w:rFonts w:hint="eastAsia" w:asciiTheme="minorEastAsia" w:hAnsiTheme="minorEastAsia"/>
          <w:bCs/>
          <w:color w:val="auto"/>
          <w:sz w:val="30"/>
          <w:szCs w:val="30"/>
          <w:highlight w:val="none"/>
        </w:rPr>
        <w:t>常州市“人工智能+制造”行动计划以及人工智能赋能新型工业化实施方案编制项目</w:t>
      </w:r>
    </w:p>
    <w:p w14:paraId="44A5A8F9">
      <w:pPr>
        <w:tabs>
          <w:tab w:val="left" w:pos="5609"/>
        </w:tabs>
        <w:spacing w:line="360" w:lineRule="auto"/>
        <w:jc w:val="left"/>
        <w:rPr>
          <w:rStyle w:val="30"/>
          <w:rFonts w:hint="eastAsia" w:asciiTheme="minorEastAsia" w:hAnsiTheme="minorEastAsia" w:eastAsiaTheme="minorEastAsia"/>
          <w:color w:val="auto"/>
          <w:sz w:val="30"/>
          <w:szCs w:val="30"/>
          <w:highlight w:val="none"/>
          <w:lang w:eastAsia="zh-CN"/>
        </w:rPr>
      </w:pPr>
      <w:r>
        <w:rPr>
          <w:rFonts w:asciiTheme="minorEastAsia" w:hAnsiTheme="minorEastAsia"/>
          <w:bCs/>
          <w:color w:val="auto"/>
          <w:sz w:val="30"/>
          <w:szCs w:val="30"/>
          <w:highlight w:val="none"/>
        </w:rPr>
        <w:t>项目编号：</w:t>
      </w:r>
      <w:r>
        <w:rPr>
          <w:rFonts w:hint="eastAsia" w:asciiTheme="minorEastAsia" w:hAnsiTheme="minorEastAsia"/>
          <w:color w:val="auto"/>
          <w:sz w:val="30"/>
          <w:szCs w:val="30"/>
          <w:highlight w:val="none"/>
          <w:lang w:eastAsia="zh-CN"/>
        </w:rPr>
        <w:t>JSZC-320400-CZJC-C2025-0156</w:t>
      </w:r>
    </w:p>
    <w:p w14:paraId="413339F2">
      <w:pPr>
        <w:tabs>
          <w:tab w:val="left" w:pos="3240"/>
          <w:tab w:val="left" w:pos="3420"/>
        </w:tabs>
        <w:spacing w:line="360" w:lineRule="auto"/>
        <w:jc w:val="left"/>
        <w:rPr>
          <w:rFonts w:asciiTheme="minorEastAsia" w:hAnsiTheme="minorEastAsia"/>
          <w:bCs/>
          <w:color w:val="auto"/>
          <w:sz w:val="30"/>
          <w:szCs w:val="30"/>
          <w:highlight w:val="none"/>
        </w:rPr>
      </w:pPr>
      <w:r>
        <w:rPr>
          <w:rFonts w:asciiTheme="minorEastAsia" w:hAnsiTheme="minorEastAsia"/>
          <w:bCs/>
          <w:color w:val="auto"/>
          <w:sz w:val="30"/>
          <w:szCs w:val="30"/>
          <w:highlight w:val="none"/>
        </w:rPr>
        <w:t>采 购 人：</w:t>
      </w:r>
      <w:r>
        <w:rPr>
          <w:rFonts w:hint="eastAsia" w:asciiTheme="minorEastAsia" w:hAnsiTheme="minorEastAsia"/>
          <w:bCs/>
          <w:color w:val="auto"/>
          <w:sz w:val="30"/>
          <w:szCs w:val="30"/>
          <w:highlight w:val="none"/>
        </w:rPr>
        <w:t>常州市工业和信息化局</w:t>
      </w:r>
    </w:p>
    <w:p w14:paraId="7F5F4948">
      <w:pPr>
        <w:tabs>
          <w:tab w:val="left" w:pos="3240"/>
          <w:tab w:val="left" w:pos="3420"/>
        </w:tabs>
        <w:spacing w:line="360" w:lineRule="auto"/>
        <w:jc w:val="left"/>
        <w:rPr>
          <w:rFonts w:asciiTheme="minorEastAsia" w:hAnsiTheme="minorEastAsia"/>
          <w:bCs/>
          <w:color w:val="auto"/>
          <w:sz w:val="30"/>
          <w:szCs w:val="30"/>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titlePg/>
          <w:docGrid w:type="lines" w:linePitch="312" w:charSpace="0"/>
        </w:sectPr>
      </w:pPr>
      <w:r>
        <w:rPr>
          <w:rFonts w:hint="eastAsia" w:asciiTheme="minorEastAsia" w:hAnsiTheme="minorEastAsia"/>
          <w:bCs/>
          <w:color w:val="auto"/>
          <w:sz w:val="30"/>
          <w:szCs w:val="30"/>
          <w:highlight w:val="none"/>
        </w:rPr>
        <w:t>采购</w:t>
      </w:r>
      <w:r>
        <w:rPr>
          <w:rFonts w:asciiTheme="minorEastAsia" w:hAnsiTheme="minorEastAsia"/>
          <w:bCs/>
          <w:color w:val="auto"/>
          <w:sz w:val="30"/>
          <w:szCs w:val="30"/>
          <w:highlight w:val="none"/>
        </w:rPr>
        <w:t>代理机构：</w:t>
      </w:r>
      <w:r>
        <w:rPr>
          <w:rStyle w:val="30"/>
          <w:rFonts w:hint="eastAsia" w:asciiTheme="minorEastAsia" w:hAnsiTheme="minorEastAsia"/>
          <w:color w:val="auto"/>
          <w:sz w:val="30"/>
          <w:szCs w:val="30"/>
          <w:highlight w:val="none"/>
        </w:rPr>
        <w:t>常州金诚招投标有限公司</w:t>
      </w:r>
    </w:p>
    <w:p w14:paraId="2CD71970">
      <w:pPr>
        <w:widowControl/>
        <w:jc w:val="center"/>
        <w:rPr>
          <w:rFonts w:asciiTheme="minorEastAsia" w:hAnsiTheme="minorEastAsia"/>
          <w:b/>
          <w:bCs/>
          <w:color w:val="auto"/>
          <w:sz w:val="36"/>
          <w:szCs w:val="36"/>
          <w:highlight w:val="none"/>
        </w:rPr>
      </w:pPr>
      <w:r>
        <w:rPr>
          <w:rFonts w:asciiTheme="minorEastAsia" w:hAnsiTheme="minorEastAsia"/>
          <w:b/>
          <w:bCs/>
          <w:color w:val="auto"/>
          <w:sz w:val="36"/>
          <w:szCs w:val="36"/>
          <w:highlight w:val="none"/>
        </w:rPr>
        <w:t>目录</w:t>
      </w:r>
    </w:p>
    <w:p w14:paraId="409AF61C">
      <w:pPr>
        <w:pStyle w:val="15"/>
        <w:tabs>
          <w:tab w:val="right" w:leader="dot" w:pos="8306"/>
        </w:tabs>
        <w:rPr>
          <w:color w:val="auto"/>
          <w:highlight w:val="none"/>
        </w:rPr>
      </w:pPr>
      <w:r>
        <w:rPr>
          <w:rFonts w:asciiTheme="minorEastAsia" w:hAnsiTheme="minorEastAsia" w:eastAsiaTheme="minorEastAsia"/>
          <w:b w:val="0"/>
          <w:bCs/>
          <w:color w:val="auto"/>
          <w:sz w:val="36"/>
          <w:szCs w:val="36"/>
          <w:highlight w:val="none"/>
        </w:rPr>
        <w:fldChar w:fldCharType="begin"/>
      </w:r>
      <w:r>
        <w:rPr>
          <w:rFonts w:asciiTheme="minorEastAsia" w:hAnsiTheme="minorEastAsia" w:eastAsiaTheme="minorEastAsia"/>
          <w:b w:val="0"/>
          <w:bCs/>
          <w:color w:val="auto"/>
          <w:sz w:val="36"/>
          <w:szCs w:val="36"/>
          <w:highlight w:val="none"/>
        </w:rPr>
        <w:instrText xml:space="preserve"> TOC \o "1-1" \h \z \u </w:instrText>
      </w:r>
      <w:r>
        <w:rPr>
          <w:rFonts w:asciiTheme="minorEastAsia" w:hAnsiTheme="minorEastAsia" w:eastAsiaTheme="minorEastAsia"/>
          <w:b w:val="0"/>
          <w:bCs/>
          <w:color w:val="auto"/>
          <w:sz w:val="36"/>
          <w:szCs w:val="36"/>
          <w:highlight w:val="none"/>
        </w:rPr>
        <w:fldChar w:fldCharType="separate"/>
      </w:r>
      <w:r>
        <w:rPr>
          <w:color w:val="auto"/>
          <w:highlight w:val="none"/>
        </w:rPr>
        <w:fldChar w:fldCharType="begin"/>
      </w:r>
      <w:r>
        <w:rPr>
          <w:color w:val="auto"/>
          <w:highlight w:val="none"/>
        </w:rPr>
        <w:instrText xml:space="preserve"> HYPERLINK \l "_Toc1352" </w:instrText>
      </w:r>
      <w:r>
        <w:rPr>
          <w:color w:val="auto"/>
          <w:highlight w:val="none"/>
        </w:rPr>
        <w:fldChar w:fldCharType="separate"/>
      </w:r>
      <w:r>
        <w:rPr>
          <w:rFonts w:asciiTheme="minorEastAsia" w:hAnsiTheme="minorEastAsia"/>
          <w:color w:val="auto"/>
          <w:highlight w:val="none"/>
        </w:rPr>
        <w:t>第一章</w:t>
      </w:r>
      <w:r>
        <w:rPr>
          <w:rFonts w:hint="eastAsia" w:asciiTheme="minorEastAsia" w:hAnsiTheme="minorEastAsia"/>
          <w:color w:val="auto"/>
          <w:highlight w:val="none"/>
        </w:rPr>
        <w:t xml:space="preserve"> 采购邀请</w:t>
      </w:r>
      <w:r>
        <w:rPr>
          <w:color w:val="auto"/>
          <w:highlight w:val="none"/>
        </w:rPr>
        <w:tab/>
      </w:r>
      <w:r>
        <w:rPr>
          <w:color w:val="auto"/>
          <w:highlight w:val="none"/>
        </w:rPr>
        <w:fldChar w:fldCharType="begin"/>
      </w:r>
      <w:r>
        <w:rPr>
          <w:color w:val="auto"/>
          <w:highlight w:val="none"/>
        </w:rPr>
        <w:instrText xml:space="preserve"> PAGEREF _Toc1352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325465B5">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"_Toc5132" </w:instrText>
      </w:r>
      <w:r>
        <w:rPr>
          <w:color w:val="auto"/>
          <w:highlight w:val="none"/>
        </w:rPr>
        <w:fldChar w:fldCharType="separate"/>
      </w:r>
      <w:r>
        <w:rPr>
          <w:rFonts w:hint="eastAsia" w:asciiTheme="minorEastAsia" w:hAnsiTheme="minorEastAsia"/>
          <w:color w:val="auto"/>
          <w:highlight w:val="none"/>
        </w:rPr>
        <w:t>第二章 供应商须知</w:t>
      </w:r>
      <w:r>
        <w:rPr>
          <w:color w:val="auto"/>
          <w:highlight w:val="none"/>
        </w:rPr>
        <w:tab/>
      </w:r>
      <w:r>
        <w:rPr>
          <w:color w:val="auto"/>
          <w:highlight w:val="none"/>
        </w:rPr>
        <w:fldChar w:fldCharType="begin"/>
      </w:r>
      <w:r>
        <w:rPr>
          <w:color w:val="auto"/>
          <w:highlight w:val="none"/>
        </w:rPr>
        <w:instrText xml:space="preserve"> PAGEREF _Toc5132 \h </w:instrText>
      </w:r>
      <w:r>
        <w:rPr>
          <w:color w:val="auto"/>
          <w:highlight w:val="none"/>
        </w:rPr>
        <w:fldChar w:fldCharType="separate"/>
      </w:r>
      <w:r>
        <w:rPr>
          <w:color w:val="auto"/>
          <w:highlight w:val="none"/>
        </w:rPr>
        <w:t>5</w:t>
      </w:r>
      <w:r>
        <w:rPr>
          <w:color w:val="auto"/>
          <w:highlight w:val="none"/>
        </w:rPr>
        <w:fldChar w:fldCharType="end"/>
      </w:r>
      <w:r>
        <w:rPr>
          <w:color w:val="auto"/>
          <w:highlight w:val="none"/>
        </w:rPr>
        <w:fldChar w:fldCharType="end"/>
      </w:r>
    </w:p>
    <w:p w14:paraId="592C34B7">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"_Toc13127" </w:instrText>
      </w:r>
      <w:r>
        <w:rPr>
          <w:color w:val="auto"/>
          <w:highlight w:val="none"/>
        </w:rPr>
        <w:fldChar w:fldCharType="separate"/>
      </w:r>
      <w:r>
        <w:rPr>
          <w:rFonts w:asciiTheme="minorEastAsia" w:hAnsiTheme="minorEastAsia"/>
          <w:color w:val="auto"/>
          <w:highlight w:val="none"/>
        </w:rPr>
        <w:t>第三章</w:t>
      </w:r>
      <w:r>
        <w:rPr>
          <w:rFonts w:hint="eastAsia" w:asciiTheme="minorEastAsia" w:hAnsiTheme="minorEastAsia"/>
          <w:color w:val="auto"/>
          <w:highlight w:val="none"/>
        </w:rPr>
        <w:t xml:space="preserve"> </w:t>
      </w:r>
      <w:r>
        <w:rPr>
          <w:rFonts w:asciiTheme="minorEastAsia" w:hAnsiTheme="minorEastAsia"/>
          <w:color w:val="auto"/>
          <w:highlight w:val="none"/>
        </w:rPr>
        <w:t>评审</w:t>
      </w:r>
      <w:r>
        <w:rPr>
          <w:rFonts w:hint="eastAsia" w:asciiTheme="minorEastAsia" w:hAnsiTheme="minorEastAsia"/>
          <w:color w:val="auto"/>
          <w:highlight w:val="none"/>
        </w:rPr>
        <w:t>程序、评审</w:t>
      </w:r>
      <w:r>
        <w:rPr>
          <w:rFonts w:asciiTheme="minorEastAsia" w:hAnsiTheme="minorEastAsia"/>
          <w:color w:val="auto"/>
          <w:highlight w:val="none"/>
        </w:rPr>
        <w:t>方法和评审标准</w:t>
      </w:r>
      <w:r>
        <w:rPr>
          <w:color w:val="auto"/>
          <w:highlight w:val="none"/>
        </w:rPr>
        <w:tab/>
      </w:r>
      <w:r>
        <w:rPr>
          <w:color w:val="auto"/>
          <w:highlight w:val="none"/>
        </w:rPr>
        <w:fldChar w:fldCharType="begin"/>
      </w:r>
      <w:r>
        <w:rPr>
          <w:color w:val="auto"/>
          <w:highlight w:val="none"/>
        </w:rPr>
        <w:instrText xml:space="preserve"> PAGEREF _Toc13127 \h </w:instrText>
      </w:r>
      <w:r>
        <w:rPr>
          <w:color w:val="auto"/>
          <w:highlight w:val="none"/>
        </w:rPr>
        <w:fldChar w:fldCharType="separate"/>
      </w:r>
      <w:r>
        <w:rPr>
          <w:color w:val="auto"/>
          <w:highlight w:val="none"/>
        </w:rPr>
        <w:t>21</w:t>
      </w:r>
      <w:r>
        <w:rPr>
          <w:color w:val="auto"/>
          <w:highlight w:val="none"/>
        </w:rPr>
        <w:fldChar w:fldCharType="end"/>
      </w:r>
      <w:r>
        <w:rPr>
          <w:color w:val="auto"/>
          <w:highlight w:val="none"/>
        </w:rPr>
        <w:fldChar w:fldCharType="end"/>
      </w:r>
    </w:p>
    <w:p w14:paraId="5A15BCB7">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"_Toc11507" </w:instrText>
      </w:r>
      <w:r>
        <w:rPr>
          <w:color w:val="auto"/>
          <w:highlight w:val="none"/>
        </w:rPr>
        <w:fldChar w:fldCharType="separate"/>
      </w:r>
      <w:r>
        <w:rPr>
          <w:rFonts w:hint="eastAsia" w:asciiTheme="minorEastAsia" w:hAnsiTheme="minorEastAsia"/>
          <w:color w:val="auto"/>
          <w:highlight w:val="none"/>
        </w:rPr>
        <w:t>第四章 采购需求</w:t>
      </w:r>
      <w:r>
        <w:rPr>
          <w:color w:val="auto"/>
          <w:highlight w:val="none"/>
        </w:rPr>
        <w:tab/>
      </w:r>
      <w:r>
        <w:rPr>
          <w:color w:val="auto"/>
          <w:highlight w:val="none"/>
        </w:rPr>
        <w:fldChar w:fldCharType="begin"/>
      </w:r>
      <w:r>
        <w:rPr>
          <w:color w:val="auto"/>
          <w:highlight w:val="none"/>
        </w:rPr>
        <w:instrText xml:space="preserve"> PAGEREF _Toc11507 \h </w:instrText>
      </w:r>
      <w:r>
        <w:rPr>
          <w:color w:val="auto"/>
          <w:highlight w:val="none"/>
        </w:rPr>
        <w:fldChar w:fldCharType="separate"/>
      </w:r>
      <w:r>
        <w:rPr>
          <w:color w:val="auto"/>
          <w:highlight w:val="none"/>
        </w:rPr>
        <w:t>32</w:t>
      </w:r>
      <w:r>
        <w:rPr>
          <w:color w:val="auto"/>
          <w:highlight w:val="none"/>
        </w:rPr>
        <w:fldChar w:fldCharType="end"/>
      </w:r>
      <w:r>
        <w:rPr>
          <w:color w:val="auto"/>
          <w:highlight w:val="none"/>
        </w:rPr>
        <w:fldChar w:fldCharType="end"/>
      </w:r>
    </w:p>
    <w:p w14:paraId="0CB6A7E5">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"_Toc19460" </w:instrText>
      </w:r>
      <w:r>
        <w:rPr>
          <w:color w:val="auto"/>
          <w:highlight w:val="none"/>
        </w:rPr>
        <w:fldChar w:fldCharType="separate"/>
      </w:r>
      <w:r>
        <w:rPr>
          <w:rFonts w:asciiTheme="minorEastAsia" w:hAnsiTheme="minorEastAsia"/>
          <w:color w:val="auto"/>
          <w:highlight w:val="none"/>
        </w:rPr>
        <w:t>第五章</w:t>
      </w:r>
      <w:r>
        <w:rPr>
          <w:rFonts w:hint="eastAsia" w:asciiTheme="minorEastAsia" w:hAnsiTheme="minorEastAsia"/>
          <w:color w:val="auto"/>
          <w:highlight w:val="none"/>
        </w:rPr>
        <w:t xml:space="preserve"> </w:t>
      </w:r>
      <w:r>
        <w:rPr>
          <w:rFonts w:asciiTheme="minorEastAsia" w:hAnsiTheme="minorEastAsia"/>
          <w:color w:val="auto"/>
          <w:highlight w:val="none"/>
        </w:rPr>
        <w:t>合同草案条款</w:t>
      </w:r>
      <w:r>
        <w:rPr>
          <w:color w:val="auto"/>
          <w:highlight w:val="none"/>
        </w:rPr>
        <w:tab/>
      </w:r>
      <w:r>
        <w:rPr>
          <w:color w:val="auto"/>
          <w:highlight w:val="none"/>
        </w:rPr>
        <w:fldChar w:fldCharType="begin"/>
      </w:r>
      <w:r>
        <w:rPr>
          <w:color w:val="auto"/>
          <w:highlight w:val="none"/>
        </w:rPr>
        <w:instrText xml:space="preserve"> PAGEREF _Toc19460 \h </w:instrText>
      </w:r>
      <w:r>
        <w:rPr>
          <w:color w:val="auto"/>
          <w:highlight w:val="none"/>
        </w:rPr>
        <w:fldChar w:fldCharType="separate"/>
      </w:r>
      <w:r>
        <w:rPr>
          <w:color w:val="auto"/>
          <w:highlight w:val="none"/>
        </w:rPr>
        <w:t>35</w:t>
      </w:r>
      <w:r>
        <w:rPr>
          <w:color w:val="auto"/>
          <w:highlight w:val="none"/>
        </w:rPr>
        <w:fldChar w:fldCharType="end"/>
      </w:r>
      <w:r>
        <w:rPr>
          <w:color w:val="auto"/>
          <w:highlight w:val="none"/>
        </w:rPr>
        <w:fldChar w:fldCharType="end"/>
      </w:r>
    </w:p>
    <w:p w14:paraId="1E1F16B8">
      <w:pPr>
        <w:pStyle w:val="15"/>
        <w:tabs>
          <w:tab w:val="right" w:leader="dot" w:pos="8306"/>
        </w:tabs>
        <w:rPr>
          <w:color w:val="auto"/>
          <w:highlight w:val="none"/>
        </w:rPr>
      </w:pPr>
      <w:r>
        <w:rPr>
          <w:color w:val="auto"/>
          <w:highlight w:val="none"/>
        </w:rPr>
        <w:fldChar w:fldCharType="begin"/>
      </w:r>
      <w:r>
        <w:rPr>
          <w:color w:val="auto"/>
          <w:highlight w:val="none"/>
        </w:rPr>
        <w:instrText xml:space="preserve"> HYPERLINK \l "_Toc21509" </w:instrText>
      </w:r>
      <w:r>
        <w:rPr>
          <w:color w:val="auto"/>
          <w:highlight w:val="none"/>
        </w:rPr>
        <w:fldChar w:fldCharType="separate"/>
      </w:r>
      <w:r>
        <w:rPr>
          <w:rFonts w:asciiTheme="minorEastAsia" w:hAnsiTheme="minorEastAsia"/>
          <w:color w:val="auto"/>
          <w:highlight w:val="none"/>
        </w:rPr>
        <w:t>第六章</w:t>
      </w:r>
      <w:r>
        <w:rPr>
          <w:rFonts w:hint="eastAsia" w:asciiTheme="minorEastAsia" w:hAnsiTheme="minorEastAsia"/>
          <w:color w:val="auto"/>
          <w:highlight w:val="none"/>
        </w:rPr>
        <w:t xml:space="preserve"> </w:t>
      </w:r>
      <w:r>
        <w:rPr>
          <w:rFonts w:asciiTheme="minorEastAsia" w:hAnsiTheme="minorEastAsia"/>
          <w:color w:val="auto"/>
          <w:highlight w:val="none"/>
        </w:rPr>
        <w:t>响应文件格式</w:t>
      </w:r>
      <w:r>
        <w:rPr>
          <w:color w:val="auto"/>
          <w:highlight w:val="none"/>
        </w:rPr>
        <w:tab/>
      </w:r>
      <w:r>
        <w:rPr>
          <w:color w:val="auto"/>
          <w:highlight w:val="none"/>
        </w:rPr>
        <w:fldChar w:fldCharType="begin"/>
      </w:r>
      <w:r>
        <w:rPr>
          <w:color w:val="auto"/>
          <w:highlight w:val="none"/>
        </w:rPr>
        <w:instrText xml:space="preserve"> PAGEREF _Toc21509 \h </w:instrText>
      </w:r>
      <w:r>
        <w:rPr>
          <w:color w:val="auto"/>
          <w:highlight w:val="none"/>
        </w:rPr>
        <w:fldChar w:fldCharType="separate"/>
      </w:r>
      <w:r>
        <w:rPr>
          <w:color w:val="auto"/>
          <w:highlight w:val="none"/>
        </w:rPr>
        <w:t>38</w:t>
      </w:r>
      <w:r>
        <w:rPr>
          <w:color w:val="auto"/>
          <w:highlight w:val="none"/>
        </w:rPr>
        <w:fldChar w:fldCharType="end"/>
      </w:r>
      <w:r>
        <w:rPr>
          <w:color w:val="auto"/>
          <w:highlight w:val="none"/>
        </w:rPr>
        <w:fldChar w:fldCharType="end"/>
      </w:r>
    </w:p>
    <w:p w14:paraId="1980591C">
      <w:pPr>
        <w:widowControl/>
        <w:jc w:val="left"/>
        <w:rPr>
          <w:rFonts w:asciiTheme="minorEastAsia" w:hAnsiTheme="minorEastAsia"/>
          <w:bCs/>
          <w:color w:val="auto"/>
          <w:sz w:val="36"/>
          <w:szCs w:val="36"/>
          <w:highlight w:val="none"/>
        </w:rPr>
        <w:sectPr>
          <w:pgSz w:w="11906" w:h="16838"/>
          <w:pgMar w:top="1440" w:right="1800" w:bottom="1440" w:left="1800" w:header="851" w:footer="992" w:gutter="0"/>
          <w:pgNumType w:start="0"/>
          <w:cols w:space="425" w:num="1"/>
          <w:docGrid w:type="lines" w:linePitch="312" w:charSpace="0"/>
        </w:sectPr>
      </w:pPr>
      <w:r>
        <w:rPr>
          <w:rFonts w:cs="宋体" w:asciiTheme="minorEastAsia" w:hAnsiTheme="minorEastAsia"/>
          <w:bCs/>
          <w:color w:val="auto"/>
          <w:szCs w:val="36"/>
          <w:highlight w:val="none"/>
        </w:rPr>
        <w:fldChar w:fldCharType="end"/>
      </w:r>
    </w:p>
    <w:p w14:paraId="6D29C08C">
      <w:pPr>
        <w:pStyle w:val="2"/>
        <w:rPr>
          <w:rFonts w:asciiTheme="minorEastAsia" w:hAnsiTheme="minorEastAsia"/>
          <w:color w:val="auto"/>
          <w:sz w:val="60"/>
          <w:szCs w:val="60"/>
          <w:highlight w:val="none"/>
        </w:rPr>
      </w:pPr>
      <w:bookmarkStart w:id="0" w:name="_Toc1352"/>
      <w:r>
        <w:rPr>
          <w:rFonts w:asciiTheme="minorEastAsia" w:hAnsiTheme="minorEastAsia"/>
          <w:color w:val="auto"/>
          <w:highlight w:val="none"/>
        </w:rPr>
        <w:t>第一章</w:t>
      </w:r>
      <w:r>
        <w:rPr>
          <w:rFonts w:hint="eastAsia" w:asciiTheme="minorEastAsia" w:hAnsiTheme="minorEastAsia"/>
          <w:color w:val="auto"/>
          <w:highlight w:val="none"/>
        </w:rPr>
        <w:t xml:space="preserve"> 采购邀请</w:t>
      </w:r>
      <w:bookmarkEnd w:id="0"/>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522"/>
      </w:tblGrid>
      <w:tr w14:paraId="7FA455E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522" w:type="dxa"/>
            <w:vAlign w:val="center"/>
          </w:tcPr>
          <w:p w14:paraId="45CCDD4E">
            <w:pPr>
              <w:spacing w:line="360" w:lineRule="auto"/>
              <w:jc w:val="left"/>
              <w:rPr>
                <w:rStyle w:val="30"/>
                <w:rFonts w:cs="仿宋_GB2312" w:asciiTheme="minorEastAsia" w:hAnsiTheme="minorEastAsia"/>
                <w:bCs/>
                <w:color w:val="auto"/>
                <w:spacing w:val="2"/>
                <w:sz w:val="24"/>
                <w:highlight w:val="none"/>
              </w:rPr>
            </w:pPr>
            <w:r>
              <w:rPr>
                <w:rStyle w:val="30"/>
                <w:rFonts w:hint="eastAsia" w:cs="仿宋_GB2312" w:asciiTheme="minorEastAsia" w:hAnsiTheme="minorEastAsia"/>
                <w:bCs/>
                <w:color w:val="auto"/>
                <w:spacing w:val="2"/>
                <w:sz w:val="24"/>
                <w:highlight w:val="none"/>
              </w:rPr>
              <w:t>项目概况</w:t>
            </w:r>
          </w:p>
          <w:p w14:paraId="1FD9579A">
            <w:pPr>
              <w:spacing w:line="360" w:lineRule="auto"/>
              <w:ind w:firstLine="480" w:firstLineChars="200"/>
              <w:jc w:val="left"/>
              <w:rPr>
                <w:rStyle w:val="30"/>
                <w:rFonts w:asciiTheme="minorEastAsia" w:hAnsiTheme="minorEastAsia"/>
                <w:color w:val="auto"/>
                <w:highlight w:val="none"/>
              </w:rPr>
            </w:pPr>
            <w:r>
              <w:rPr>
                <w:rStyle w:val="30"/>
                <w:rFonts w:hint="eastAsia" w:asciiTheme="minorEastAsia" w:hAnsiTheme="minorEastAsia"/>
                <w:color w:val="auto"/>
                <w:sz w:val="24"/>
                <w:highlight w:val="none"/>
              </w:rPr>
              <w:t>常州市“人工智能+智能制造”以及人工智能赋能新型工业化实施方案编制项目</w:t>
            </w:r>
            <w:r>
              <w:rPr>
                <w:rStyle w:val="30"/>
                <w:rFonts w:asciiTheme="minorEastAsia" w:hAnsiTheme="minorEastAsia"/>
                <w:color w:val="auto"/>
                <w:sz w:val="24"/>
                <w:highlight w:val="none"/>
              </w:rPr>
              <w:t>的潜在供应商应在</w:t>
            </w:r>
            <w:r>
              <w:rPr>
                <w:rFonts w:hint="eastAsia" w:asciiTheme="minorEastAsia" w:hAnsiTheme="minorEastAsia"/>
                <w:color w:val="auto"/>
                <w:sz w:val="24"/>
                <w:szCs w:val="24"/>
                <w:highlight w:val="none"/>
              </w:rPr>
              <w:t>“苏采云”系统</w:t>
            </w:r>
            <w:r>
              <w:rPr>
                <w:rStyle w:val="30"/>
                <w:rFonts w:asciiTheme="minorEastAsia" w:hAnsiTheme="minorEastAsia"/>
                <w:color w:val="auto"/>
                <w:sz w:val="24"/>
                <w:highlight w:val="none"/>
              </w:rPr>
              <w:t>获取</w:t>
            </w:r>
            <w:r>
              <w:rPr>
                <w:rStyle w:val="30"/>
                <w:rFonts w:hint="eastAsia" w:asciiTheme="minorEastAsia" w:hAnsiTheme="minorEastAsia"/>
                <w:color w:val="auto"/>
                <w:sz w:val="24"/>
                <w:highlight w:val="none"/>
              </w:rPr>
              <w:t>磋商</w:t>
            </w:r>
            <w:r>
              <w:rPr>
                <w:rStyle w:val="30"/>
                <w:rFonts w:asciiTheme="minorEastAsia" w:hAnsiTheme="minorEastAsia"/>
                <w:color w:val="auto"/>
                <w:sz w:val="24"/>
                <w:highlight w:val="none"/>
              </w:rPr>
              <w:t>文件，并于</w:t>
            </w:r>
            <w:r>
              <w:rPr>
                <w:rStyle w:val="30"/>
                <w:rFonts w:hint="eastAsia" w:asciiTheme="minorEastAsia" w:hAnsiTheme="minorEastAsia"/>
                <w:color w:val="auto"/>
                <w:sz w:val="24"/>
                <w:highlight w:val="none"/>
              </w:rPr>
              <w:t>2025年12月</w:t>
            </w:r>
            <w:r>
              <w:rPr>
                <w:rStyle w:val="30"/>
                <w:rFonts w:hint="eastAsia" w:asciiTheme="minorEastAsia" w:hAnsiTheme="minorEastAsia"/>
                <w:color w:val="auto"/>
                <w:sz w:val="24"/>
                <w:highlight w:val="none"/>
                <w:lang w:val="en-US" w:eastAsia="zh-CN"/>
              </w:rPr>
              <w:t>22</w:t>
            </w:r>
            <w:r>
              <w:rPr>
                <w:rStyle w:val="30"/>
                <w:rFonts w:hint="eastAsia" w:asciiTheme="minorEastAsia" w:hAnsiTheme="minorEastAsia"/>
                <w:color w:val="auto"/>
                <w:sz w:val="24"/>
                <w:highlight w:val="none"/>
              </w:rPr>
              <w:t>日</w:t>
            </w:r>
            <w:r>
              <w:rPr>
                <w:rStyle w:val="30"/>
                <w:rFonts w:hint="eastAsia" w:asciiTheme="minorEastAsia" w:hAnsiTheme="minorEastAsia"/>
                <w:color w:val="auto"/>
                <w:spacing w:val="2"/>
                <w:sz w:val="24"/>
                <w:highlight w:val="none"/>
              </w:rPr>
              <w:t>09</w:t>
            </w:r>
            <w:r>
              <w:rPr>
                <w:rStyle w:val="30"/>
                <w:rFonts w:asciiTheme="minorEastAsia" w:hAnsiTheme="minorEastAsia"/>
                <w:bCs/>
                <w:color w:val="auto"/>
                <w:sz w:val="24"/>
                <w:highlight w:val="none"/>
              </w:rPr>
              <w:t>点</w:t>
            </w:r>
            <w:r>
              <w:rPr>
                <w:rStyle w:val="30"/>
                <w:rFonts w:hint="eastAsia" w:asciiTheme="minorEastAsia" w:hAnsiTheme="minorEastAsia"/>
                <w:bCs/>
                <w:color w:val="auto"/>
                <w:sz w:val="24"/>
                <w:highlight w:val="none"/>
                <w:lang w:val="en-US" w:eastAsia="zh-CN"/>
              </w:rPr>
              <w:t>00</w:t>
            </w:r>
            <w:r>
              <w:rPr>
                <w:rStyle w:val="30"/>
                <w:rFonts w:asciiTheme="minorEastAsia" w:hAnsiTheme="minorEastAsia"/>
                <w:bCs/>
                <w:color w:val="auto"/>
                <w:sz w:val="24"/>
                <w:highlight w:val="none"/>
              </w:rPr>
              <w:t>分（北京时间）前提交响应文件</w:t>
            </w:r>
            <w:r>
              <w:rPr>
                <w:rStyle w:val="30"/>
                <w:rFonts w:asciiTheme="minorEastAsia" w:hAnsiTheme="minorEastAsia"/>
                <w:color w:val="auto"/>
                <w:sz w:val="24"/>
                <w:highlight w:val="none"/>
              </w:rPr>
              <w:t>。</w:t>
            </w:r>
          </w:p>
        </w:tc>
      </w:tr>
    </w:tbl>
    <w:p w14:paraId="568DBE77">
      <w:pPr>
        <w:spacing w:line="360" w:lineRule="auto"/>
        <w:jc w:val="left"/>
        <w:rPr>
          <w:rFonts w:asciiTheme="minorEastAsia" w:hAnsiTheme="minorEastAsia"/>
          <w:b/>
          <w:color w:val="auto"/>
          <w:sz w:val="24"/>
          <w:szCs w:val="24"/>
          <w:highlight w:val="none"/>
        </w:rPr>
      </w:pPr>
      <w:r>
        <w:rPr>
          <w:rFonts w:asciiTheme="minorEastAsia" w:hAnsiTheme="minorEastAsia"/>
          <w:b/>
          <w:color w:val="auto"/>
          <w:sz w:val="24"/>
          <w:szCs w:val="24"/>
          <w:highlight w:val="none"/>
        </w:rPr>
        <w:t>一</w:t>
      </w:r>
      <w:r>
        <w:rPr>
          <w:rFonts w:hint="eastAsia" w:asciiTheme="minorEastAsia" w:hAnsiTheme="minorEastAsia"/>
          <w:b/>
          <w:color w:val="auto"/>
          <w:sz w:val="24"/>
          <w:szCs w:val="24"/>
          <w:highlight w:val="none"/>
        </w:rPr>
        <w:t>、</w:t>
      </w:r>
      <w:r>
        <w:rPr>
          <w:rFonts w:asciiTheme="minorEastAsia" w:hAnsiTheme="minorEastAsia"/>
          <w:b/>
          <w:color w:val="auto"/>
          <w:sz w:val="24"/>
          <w:szCs w:val="24"/>
          <w:highlight w:val="none"/>
        </w:rPr>
        <w:t>项目基本情况</w:t>
      </w:r>
    </w:p>
    <w:p w14:paraId="00ABE096">
      <w:pPr>
        <w:spacing w:line="360" w:lineRule="auto"/>
        <w:ind w:firstLine="480" w:firstLineChars="200"/>
        <w:jc w:val="left"/>
        <w:rPr>
          <w:rFonts w:hint="eastAsia" w:asciiTheme="minorEastAsia" w:hAnsiTheme="minorEastAsia" w:eastAsiaTheme="minorEastAsia"/>
          <w:color w:val="auto"/>
          <w:sz w:val="24"/>
          <w:szCs w:val="24"/>
          <w:highlight w:val="none"/>
          <w:lang w:eastAsia="zh-CN"/>
        </w:rPr>
      </w:pPr>
      <w:r>
        <w:rPr>
          <w:rFonts w:asciiTheme="minorEastAsia" w:hAnsiTheme="minorEastAsia"/>
          <w:color w:val="auto"/>
          <w:sz w:val="24"/>
          <w:szCs w:val="24"/>
          <w:highlight w:val="none"/>
        </w:rPr>
        <w:t>1.项目编号：</w:t>
      </w:r>
      <w:r>
        <w:rPr>
          <w:rFonts w:hint="eastAsia" w:asciiTheme="minorEastAsia" w:hAnsiTheme="minorEastAsia"/>
          <w:color w:val="auto"/>
          <w:sz w:val="24"/>
          <w:szCs w:val="24"/>
          <w:highlight w:val="none"/>
          <w:lang w:eastAsia="zh-CN"/>
        </w:rPr>
        <w:t>JSZC-320400-CZJC-C2025-0156</w:t>
      </w:r>
    </w:p>
    <w:p w14:paraId="1C341BD4">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2.项目名称：</w:t>
      </w:r>
      <w:r>
        <w:rPr>
          <w:rStyle w:val="30"/>
          <w:rFonts w:hint="eastAsia" w:asciiTheme="minorEastAsia" w:hAnsiTheme="minorEastAsia"/>
          <w:color w:val="auto"/>
          <w:sz w:val="24"/>
          <w:highlight w:val="none"/>
        </w:rPr>
        <w:t>常州市“人工智能+制造”行动计划以及人工智能赋能新型工业化实施方案编制项目</w:t>
      </w:r>
    </w:p>
    <w:p w14:paraId="5B030487">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3.</w:t>
      </w:r>
      <w:r>
        <w:rPr>
          <w:rFonts w:hint="eastAsia" w:asciiTheme="minorEastAsia" w:hAnsiTheme="minorEastAsia"/>
          <w:color w:val="auto"/>
          <w:sz w:val="24"/>
          <w:szCs w:val="24"/>
          <w:highlight w:val="none"/>
        </w:rPr>
        <w:t>采购方式</w:t>
      </w:r>
      <w:r>
        <w:rPr>
          <w:rFonts w:asciiTheme="minorEastAsia" w:hAnsiTheme="minorEastAsia"/>
          <w:color w:val="auto"/>
          <w:sz w:val="24"/>
          <w:szCs w:val="24"/>
          <w:highlight w:val="none"/>
        </w:rPr>
        <w:t>：竞争性磋商</w:t>
      </w:r>
    </w:p>
    <w:p w14:paraId="36F62152">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4.预算</w:t>
      </w:r>
      <w:r>
        <w:rPr>
          <w:rFonts w:hint="eastAsia" w:asciiTheme="minorEastAsia" w:hAnsiTheme="minorEastAsia"/>
          <w:color w:val="auto"/>
          <w:sz w:val="24"/>
          <w:szCs w:val="24"/>
          <w:highlight w:val="none"/>
        </w:rPr>
        <w:t>金额：80万元</w:t>
      </w:r>
    </w:p>
    <w:p w14:paraId="0AF055EB">
      <w:pPr>
        <w:spacing w:line="360" w:lineRule="auto"/>
        <w:ind w:firstLine="480" w:firstLineChars="2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5.最高限价：80万元</w:t>
      </w:r>
    </w:p>
    <w:p w14:paraId="77BDCCF6">
      <w:pPr>
        <w:spacing w:line="360" w:lineRule="auto"/>
        <w:ind w:firstLine="480" w:firstLineChars="20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6</w:t>
      </w:r>
      <w:r>
        <w:rPr>
          <w:rFonts w:asciiTheme="minorEastAsia" w:hAnsiTheme="minorEastAsia"/>
          <w:color w:val="auto"/>
          <w:sz w:val="24"/>
          <w:szCs w:val="24"/>
          <w:highlight w:val="none"/>
        </w:rPr>
        <w:t>.采购需求：</w:t>
      </w:r>
      <w:r>
        <w:rPr>
          <w:rFonts w:hint="eastAsia" w:asciiTheme="minorEastAsia" w:hAnsiTheme="minorEastAsia"/>
          <w:color w:val="auto"/>
          <w:sz w:val="24"/>
          <w:szCs w:val="24"/>
          <w:highlight w:val="none"/>
        </w:rPr>
        <w:t>为贯彻落实国家和省关于人工智能赋能新型工业化的决策部署，拟采购服务单位围绕“人工智能+制造”以及人工智能赋能新型工业化两大课题，结合常州产业实际，协助制定具有前瞻性、可操作性的实施方案，明确目标任务、重点场景与保障措施，更好推动人工智能与制造业深度融合，引领常州产业高质量发展。</w:t>
      </w:r>
      <w:r>
        <w:rPr>
          <w:rStyle w:val="30"/>
          <w:rFonts w:hint="eastAsia" w:asciiTheme="minorEastAsia" w:hAnsiTheme="minorEastAsia"/>
          <w:color w:val="auto"/>
          <w:sz w:val="24"/>
          <w:highlight w:val="none"/>
        </w:rPr>
        <w:t>具体详见采购文件。</w:t>
      </w:r>
    </w:p>
    <w:p w14:paraId="1C58D393">
      <w:pPr>
        <w:spacing w:line="360" w:lineRule="auto"/>
        <w:ind w:firstLine="420"/>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7</w:t>
      </w: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rPr>
        <w:t>项目履行期限：</w:t>
      </w:r>
      <w:r>
        <w:rPr>
          <w:rFonts w:hint="eastAsia" w:ascii="宋体" w:hAnsi="宋体" w:cs="宋体"/>
          <w:color w:val="auto"/>
          <w:sz w:val="24"/>
          <w:szCs w:val="24"/>
          <w:highlight w:val="none"/>
        </w:rPr>
        <w:t>合同签订后，接到采购人通知6个月内完成。</w:t>
      </w:r>
    </w:p>
    <w:p w14:paraId="01D6C4FA">
      <w:pPr>
        <w:spacing w:line="360" w:lineRule="auto"/>
        <w:ind w:firstLine="480" w:firstLineChars="2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8</w:t>
      </w:r>
      <w:r>
        <w:rPr>
          <w:rFonts w:asciiTheme="minorEastAsia" w:hAnsiTheme="minorEastAsia"/>
          <w:color w:val="auto"/>
          <w:sz w:val="24"/>
          <w:szCs w:val="24"/>
          <w:highlight w:val="none"/>
        </w:rPr>
        <w:t xml:space="preserve">.本项目是否接受联合体：□是  </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否。</w:t>
      </w:r>
    </w:p>
    <w:p w14:paraId="61855581">
      <w:pPr>
        <w:spacing w:line="360" w:lineRule="auto"/>
        <w:ind w:firstLine="480" w:firstLineChars="2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9.</w:t>
      </w:r>
      <w:r>
        <w:rPr>
          <w:rFonts w:asciiTheme="minorEastAsia" w:hAnsiTheme="minorEastAsia"/>
          <w:color w:val="auto"/>
          <w:sz w:val="24"/>
          <w:szCs w:val="24"/>
          <w:highlight w:val="none"/>
        </w:rPr>
        <w:t>本项目是否接受</w:t>
      </w:r>
      <w:r>
        <w:rPr>
          <w:rFonts w:hint="eastAsia" w:asciiTheme="minorEastAsia" w:hAnsiTheme="minorEastAsia"/>
          <w:color w:val="auto"/>
          <w:sz w:val="24"/>
          <w:szCs w:val="24"/>
          <w:highlight w:val="none"/>
        </w:rPr>
        <w:t>进口产品响应</w:t>
      </w:r>
      <w:r>
        <w:rPr>
          <w:rFonts w:asciiTheme="minorEastAsia" w:hAnsiTheme="minorEastAsia"/>
          <w:color w:val="auto"/>
          <w:sz w:val="24"/>
          <w:szCs w:val="24"/>
          <w:highlight w:val="none"/>
        </w:rPr>
        <w:t xml:space="preserve">：□是  </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否。</w:t>
      </w:r>
    </w:p>
    <w:p w14:paraId="725A2AE2">
      <w:pPr>
        <w:spacing w:line="360" w:lineRule="auto"/>
        <w:jc w:val="lef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二、申请人的资格要求（须同时满足）</w:t>
      </w:r>
    </w:p>
    <w:p w14:paraId="0F5461B5">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1.满足《中华人民共和国政府采购法》第二十二条规定</w:t>
      </w:r>
      <w:r>
        <w:rPr>
          <w:rFonts w:hint="eastAsia" w:asciiTheme="minorEastAsia" w:hAnsiTheme="minorEastAsia"/>
          <w:color w:val="auto"/>
          <w:sz w:val="24"/>
          <w:szCs w:val="24"/>
          <w:highlight w:val="none"/>
        </w:rPr>
        <w:t>以及下列情形：</w:t>
      </w:r>
    </w:p>
    <w:p w14:paraId="720679DD">
      <w:pPr>
        <w:spacing w:line="360" w:lineRule="auto"/>
        <w:ind w:firstLine="480" w:firstLineChars="2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1.1未被“信用中国”网站（WWW.creditchina.gov.cn）或“中国政府采购网”网站（www.ccgp.gov.cn）列入失信被执行人、重大税收违法案件当事人名单、政府采购严重失信行为记录名单；</w:t>
      </w:r>
    </w:p>
    <w:p w14:paraId="235C2778">
      <w:pPr>
        <w:spacing w:line="360" w:lineRule="auto"/>
        <w:ind w:firstLine="480" w:firstLineChars="2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00D096A3">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2.落实政府采购政策需满足的资格要求：</w:t>
      </w:r>
    </w:p>
    <w:p w14:paraId="36A8643B">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2.1 中小企业政策</w:t>
      </w:r>
    </w:p>
    <w:p w14:paraId="43EB107C">
      <w:pPr>
        <w:spacing w:line="360" w:lineRule="auto"/>
        <w:ind w:firstLine="480" w:firstLineChars="2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本项目不专门面向中小企业预留采购份额。</w:t>
      </w:r>
    </w:p>
    <w:p w14:paraId="0EC6BBEB">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□本项目专门面向  □中小 □小微企业  采购。即：提供的货物全部由符合政策要求的中小/小微企业制造、服务全部由符合政策要求的中小/小微企业承接。</w:t>
      </w:r>
    </w:p>
    <w:p w14:paraId="546E43AE">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color w:val="auto"/>
          <w:sz w:val="24"/>
          <w:szCs w:val="24"/>
          <w:highlight w:val="none"/>
          <w:u w:val="single"/>
        </w:rPr>
        <w:t xml:space="preserve">  /  </w:t>
      </w:r>
      <w:r>
        <w:rPr>
          <w:rFonts w:hint="eastAsia" w:asciiTheme="minorEastAsia" w:hAnsiTheme="minorEastAsia"/>
          <w:color w:val="auto"/>
          <w:sz w:val="24"/>
          <w:szCs w:val="24"/>
          <w:highlight w:val="none"/>
        </w:rPr>
        <w:t>。</w:t>
      </w:r>
    </w:p>
    <w:p w14:paraId="34B857E6">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2.2 其它落实政府采购政策的资格要求（如有）：</w:t>
      </w:r>
      <w:r>
        <w:rPr>
          <w:rFonts w:hint="eastAsia" w:asciiTheme="minorEastAsia" w:hAnsiTheme="minorEastAsia"/>
          <w:color w:val="auto"/>
          <w:sz w:val="24"/>
          <w:szCs w:val="24"/>
          <w:highlight w:val="none"/>
          <w:u w:val="single"/>
        </w:rPr>
        <w:t xml:space="preserve">  /  </w:t>
      </w:r>
      <w:r>
        <w:rPr>
          <w:rFonts w:hint="eastAsia" w:asciiTheme="minorEastAsia" w:hAnsiTheme="minorEastAsia"/>
          <w:color w:val="auto"/>
          <w:sz w:val="24"/>
          <w:szCs w:val="24"/>
          <w:highlight w:val="none"/>
        </w:rPr>
        <w:t>。</w:t>
      </w:r>
    </w:p>
    <w:p w14:paraId="2A4288BB">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3.本项目的特定资格要求：</w:t>
      </w:r>
    </w:p>
    <w:p w14:paraId="6A4EF810">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3.1本项目是否接受分支机构参与响应：□是  </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否；</w:t>
      </w:r>
    </w:p>
    <w:p w14:paraId="27A1CCFC">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3.2 本项目是否属于政府购买服务：</w:t>
      </w:r>
    </w:p>
    <w:p w14:paraId="622FFFF2">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□否</w:t>
      </w:r>
    </w:p>
    <w:p w14:paraId="4C162290">
      <w:pPr>
        <w:spacing w:line="360" w:lineRule="auto"/>
        <w:ind w:firstLine="480" w:firstLineChars="2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是，公益一类事业单位、使用事业编制且由财政拨款保障的群团组织，不得作为承接主体；</w:t>
      </w:r>
    </w:p>
    <w:p w14:paraId="0841DDE6">
      <w:pPr>
        <w:tabs>
          <w:tab w:val="left" w:pos="900"/>
          <w:tab w:val="left" w:pos="1134"/>
          <w:tab w:val="left" w:pos="1589"/>
          <w:tab w:val="left" w:pos="5521"/>
        </w:tabs>
        <w:snapToGrid w:val="0"/>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3.3其他特定资格要求：</w:t>
      </w:r>
      <w:r>
        <w:rPr>
          <w:rFonts w:hint="eastAsia" w:asciiTheme="minorEastAsia" w:hAnsiTheme="minorEastAsia"/>
          <w:color w:val="auto"/>
          <w:sz w:val="24"/>
          <w:szCs w:val="24"/>
          <w:highlight w:val="none"/>
          <w:u w:val="single"/>
        </w:rPr>
        <w:t xml:space="preserve">  /  </w:t>
      </w:r>
      <w:r>
        <w:rPr>
          <w:rFonts w:hint="eastAsia" w:asciiTheme="minorEastAsia" w:hAnsiTheme="minorEastAsia"/>
          <w:color w:val="auto"/>
          <w:sz w:val="24"/>
          <w:szCs w:val="24"/>
          <w:highlight w:val="none"/>
        </w:rPr>
        <w:t>。</w:t>
      </w:r>
    </w:p>
    <w:p w14:paraId="61CEDDB5">
      <w:pPr>
        <w:spacing w:line="360" w:lineRule="auto"/>
        <w:jc w:val="lef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三、获取采购文件</w:t>
      </w:r>
    </w:p>
    <w:p w14:paraId="5DDE7552">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1.时间：</w:t>
      </w:r>
      <w:r>
        <w:rPr>
          <w:rFonts w:hint="eastAsia" w:asciiTheme="minorEastAsia" w:hAnsiTheme="minorEastAsia"/>
          <w:color w:val="auto"/>
          <w:sz w:val="24"/>
          <w:highlight w:val="none"/>
        </w:rPr>
        <w:t>自磋商文件公告发布之日起5个工作日。</w:t>
      </w:r>
    </w:p>
    <w:p w14:paraId="4B4550AD">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2.地点：</w:t>
      </w:r>
      <w:r>
        <w:rPr>
          <w:rFonts w:hint="eastAsia" w:asciiTheme="minorEastAsia" w:hAnsiTheme="minorEastAsia"/>
          <w:color w:val="auto"/>
          <w:sz w:val="24"/>
          <w:highlight w:val="none"/>
        </w:rPr>
        <w:t>“苏采云”系统</w:t>
      </w:r>
    </w:p>
    <w:p w14:paraId="5B2C6D5F">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3.方式：</w:t>
      </w:r>
      <w:r>
        <w:rPr>
          <w:rFonts w:asciiTheme="minorEastAsia" w:hAnsiTheme="minorEastAsia"/>
          <w:color w:val="auto"/>
          <w:sz w:val="24"/>
          <w:highlight w:val="none"/>
        </w:rPr>
        <w:t>供应商持CA数字认证证书登录</w:t>
      </w:r>
      <w:r>
        <w:rPr>
          <w:rFonts w:hint="eastAsia" w:asciiTheme="minorEastAsia" w:hAnsiTheme="minorEastAsia"/>
          <w:color w:val="auto"/>
          <w:sz w:val="24"/>
          <w:highlight w:val="none"/>
        </w:rPr>
        <w:t>“苏采云”系统</w:t>
      </w:r>
      <w:r>
        <w:rPr>
          <w:rFonts w:asciiTheme="minorEastAsia" w:hAnsiTheme="minorEastAsia"/>
          <w:color w:val="auto"/>
          <w:sz w:val="24"/>
          <w:highlight w:val="none"/>
        </w:rPr>
        <w:t>获取</w:t>
      </w:r>
      <w:r>
        <w:rPr>
          <w:rFonts w:asciiTheme="minorEastAsia" w:hAnsiTheme="minorEastAsia"/>
          <w:color w:val="auto"/>
          <w:sz w:val="24"/>
          <w:szCs w:val="24"/>
          <w:highlight w:val="none"/>
        </w:rPr>
        <w:t>电子版</w:t>
      </w:r>
      <w:r>
        <w:rPr>
          <w:rFonts w:hint="eastAsia" w:asciiTheme="minorEastAsia" w:hAnsiTheme="minorEastAsia"/>
          <w:color w:val="auto"/>
          <w:sz w:val="24"/>
          <w:szCs w:val="24"/>
          <w:highlight w:val="none"/>
        </w:rPr>
        <w:t>磋商</w:t>
      </w:r>
      <w:r>
        <w:rPr>
          <w:rFonts w:asciiTheme="minorEastAsia" w:hAnsiTheme="minorEastAsia"/>
          <w:color w:val="auto"/>
          <w:sz w:val="24"/>
          <w:szCs w:val="24"/>
          <w:highlight w:val="none"/>
        </w:rPr>
        <w:t>文件。</w:t>
      </w:r>
    </w:p>
    <w:p w14:paraId="67B44A98">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4.售价：0元。</w:t>
      </w:r>
    </w:p>
    <w:p w14:paraId="62E8CB84">
      <w:pPr>
        <w:spacing w:line="360" w:lineRule="auto"/>
        <w:jc w:val="left"/>
        <w:rPr>
          <w:rFonts w:asciiTheme="minorEastAsia" w:hAnsiTheme="minorEastAsia"/>
          <w:b/>
          <w:color w:val="auto"/>
          <w:sz w:val="24"/>
          <w:szCs w:val="24"/>
          <w:highlight w:val="none"/>
        </w:rPr>
      </w:pPr>
      <w:r>
        <w:rPr>
          <w:rFonts w:hint="eastAsia" w:asciiTheme="minorEastAsia" w:hAnsiTheme="minorEastAsia"/>
          <w:b/>
          <w:color w:val="auto"/>
          <w:sz w:val="24"/>
          <w:szCs w:val="24"/>
          <w:highlight w:val="none"/>
        </w:rPr>
        <w:t>四、响应文件提交</w:t>
      </w:r>
    </w:p>
    <w:p w14:paraId="4147EA45">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截止时间：</w:t>
      </w:r>
      <w:r>
        <w:rPr>
          <w:rFonts w:hint="eastAsia" w:asciiTheme="minorEastAsia" w:hAnsiTheme="minorEastAsia"/>
          <w:color w:val="auto"/>
          <w:sz w:val="24"/>
          <w:szCs w:val="24"/>
          <w:highlight w:val="none"/>
        </w:rPr>
        <w:t>2025年12月</w:t>
      </w:r>
      <w:r>
        <w:rPr>
          <w:rFonts w:hint="eastAsia" w:asciiTheme="minorEastAsia" w:hAnsiTheme="minorEastAsia"/>
          <w:color w:val="auto"/>
          <w:sz w:val="24"/>
          <w:szCs w:val="24"/>
          <w:highlight w:val="none"/>
          <w:lang w:val="en-US" w:eastAsia="zh-CN"/>
        </w:rPr>
        <w:t>22</w:t>
      </w:r>
      <w:r>
        <w:rPr>
          <w:rFonts w:hint="eastAsia" w:asciiTheme="minorEastAsia" w:hAnsiTheme="minorEastAsia"/>
          <w:color w:val="auto"/>
          <w:sz w:val="24"/>
          <w:szCs w:val="24"/>
          <w:highlight w:val="none"/>
        </w:rPr>
        <w:t>日09</w:t>
      </w:r>
      <w:r>
        <w:rPr>
          <w:rFonts w:asciiTheme="minorEastAsia" w:hAnsiTheme="minorEastAsia"/>
          <w:color w:val="auto"/>
          <w:sz w:val="24"/>
          <w:szCs w:val="24"/>
          <w:highlight w:val="none"/>
        </w:rPr>
        <w:t>点</w:t>
      </w:r>
      <w:r>
        <w:rPr>
          <w:rFonts w:hint="eastAsia" w:asciiTheme="minorEastAsia" w:hAnsiTheme="minorEastAsia"/>
          <w:color w:val="auto"/>
          <w:sz w:val="24"/>
          <w:szCs w:val="24"/>
          <w:highlight w:val="none"/>
          <w:lang w:val="en-US" w:eastAsia="zh-CN"/>
        </w:rPr>
        <w:t>0</w:t>
      </w:r>
      <w:r>
        <w:rPr>
          <w:rFonts w:hint="eastAsia" w:asciiTheme="minorEastAsia" w:hAnsiTheme="minorEastAsia"/>
          <w:color w:val="auto"/>
          <w:sz w:val="24"/>
          <w:szCs w:val="24"/>
          <w:highlight w:val="none"/>
        </w:rPr>
        <w:t>0</w:t>
      </w:r>
      <w:r>
        <w:rPr>
          <w:rFonts w:asciiTheme="minorEastAsia" w:hAnsiTheme="minorEastAsia"/>
          <w:color w:val="auto"/>
          <w:sz w:val="24"/>
          <w:szCs w:val="24"/>
          <w:highlight w:val="none"/>
        </w:rPr>
        <w:t>分（北京时间）。</w:t>
      </w:r>
    </w:p>
    <w:p w14:paraId="5BB6D248">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highlight w:val="none"/>
        </w:rPr>
        <w:t>地点：</w:t>
      </w:r>
      <w:r>
        <w:rPr>
          <w:rFonts w:hint="eastAsia" w:asciiTheme="minorEastAsia" w:hAnsiTheme="minorEastAsia"/>
          <w:color w:val="auto"/>
          <w:sz w:val="24"/>
          <w:highlight w:val="none"/>
        </w:rPr>
        <w:t>本项目采用不见面交易方式，无需到现场提交，供应商登录“苏采云”系统供应商端，</w:t>
      </w:r>
      <w:r>
        <w:rPr>
          <w:rFonts w:hint="eastAsia" w:asciiTheme="minorEastAsia" w:hAnsiTheme="minorEastAsia"/>
          <w:color w:val="auto"/>
          <w:sz w:val="24"/>
          <w:szCs w:val="24"/>
          <w:highlight w:val="none"/>
        </w:rPr>
        <w:t>通过系统在线提交电子响应文件。</w:t>
      </w:r>
    </w:p>
    <w:p w14:paraId="000D2ED4">
      <w:pPr>
        <w:spacing w:line="360" w:lineRule="auto"/>
        <w:jc w:val="left"/>
        <w:rPr>
          <w:rFonts w:asciiTheme="minorEastAsia" w:hAnsiTheme="minorEastAsia"/>
          <w:b/>
          <w:color w:val="auto"/>
          <w:sz w:val="24"/>
          <w:szCs w:val="24"/>
          <w:highlight w:val="none"/>
        </w:rPr>
      </w:pPr>
      <w:r>
        <w:rPr>
          <w:rFonts w:asciiTheme="minorEastAsia" w:hAnsiTheme="minorEastAsia"/>
          <w:b/>
          <w:color w:val="auto"/>
          <w:sz w:val="24"/>
          <w:szCs w:val="24"/>
          <w:highlight w:val="none"/>
        </w:rPr>
        <w:t>五、开启</w:t>
      </w:r>
    </w:p>
    <w:p w14:paraId="51773843">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时间：</w:t>
      </w:r>
      <w:r>
        <w:rPr>
          <w:rFonts w:hint="eastAsia" w:asciiTheme="minorEastAsia" w:hAnsiTheme="minorEastAsia"/>
          <w:color w:val="auto"/>
          <w:sz w:val="24"/>
          <w:szCs w:val="24"/>
          <w:highlight w:val="none"/>
        </w:rPr>
        <w:t>2025年12月</w:t>
      </w:r>
      <w:r>
        <w:rPr>
          <w:rFonts w:hint="eastAsia" w:asciiTheme="minorEastAsia" w:hAnsiTheme="minorEastAsia"/>
          <w:color w:val="auto"/>
          <w:sz w:val="24"/>
          <w:szCs w:val="24"/>
          <w:highlight w:val="none"/>
          <w:lang w:val="en-US" w:eastAsia="zh-CN"/>
        </w:rPr>
        <w:t>22</w:t>
      </w:r>
      <w:r>
        <w:rPr>
          <w:rFonts w:hint="eastAsia" w:asciiTheme="minorEastAsia" w:hAnsiTheme="minorEastAsia"/>
          <w:color w:val="auto"/>
          <w:sz w:val="24"/>
          <w:szCs w:val="24"/>
          <w:highlight w:val="none"/>
        </w:rPr>
        <w:t>日09</w:t>
      </w:r>
      <w:r>
        <w:rPr>
          <w:rFonts w:asciiTheme="minorEastAsia" w:hAnsiTheme="minorEastAsia"/>
          <w:color w:val="auto"/>
          <w:sz w:val="24"/>
          <w:szCs w:val="24"/>
          <w:highlight w:val="none"/>
        </w:rPr>
        <w:t>点</w:t>
      </w:r>
      <w:r>
        <w:rPr>
          <w:rFonts w:hint="eastAsia" w:asciiTheme="minorEastAsia" w:hAnsiTheme="minorEastAsia"/>
          <w:color w:val="auto"/>
          <w:sz w:val="24"/>
          <w:szCs w:val="24"/>
          <w:highlight w:val="none"/>
          <w:lang w:val="en-US" w:eastAsia="zh-CN"/>
        </w:rPr>
        <w:t>0</w:t>
      </w:r>
      <w:r>
        <w:rPr>
          <w:rFonts w:hint="eastAsia" w:asciiTheme="minorEastAsia" w:hAnsiTheme="minorEastAsia"/>
          <w:color w:val="auto"/>
          <w:sz w:val="24"/>
          <w:szCs w:val="24"/>
          <w:highlight w:val="none"/>
        </w:rPr>
        <w:t>0</w:t>
      </w:r>
      <w:r>
        <w:rPr>
          <w:rFonts w:asciiTheme="minorEastAsia" w:hAnsiTheme="minorEastAsia"/>
          <w:color w:val="auto"/>
          <w:sz w:val="24"/>
          <w:szCs w:val="24"/>
          <w:highlight w:val="none"/>
        </w:rPr>
        <w:t>分（北京时间）。</w:t>
      </w:r>
    </w:p>
    <w:p w14:paraId="6A9C5931">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地点：</w:t>
      </w:r>
      <w:r>
        <w:rPr>
          <w:rFonts w:hint="eastAsia"/>
          <w:color w:val="auto"/>
          <w:sz w:val="24"/>
          <w:szCs w:val="24"/>
          <w:highlight w:val="none"/>
        </w:rPr>
        <w:t>“苏采云”系统“开标大厅”</w:t>
      </w:r>
    </w:p>
    <w:p w14:paraId="22015BA5">
      <w:pPr>
        <w:spacing w:line="360" w:lineRule="auto"/>
        <w:jc w:val="left"/>
        <w:rPr>
          <w:rFonts w:asciiTheme="minorEastAsia" w:hAnsiTheme="minorEastAsia"/>
          <w:b/>
          <w:color w:val="auto"/>
          <w:sz w:val="24"/>
          <w:szCs w:val="24"/>
          <w:highlight w:val="none"/>
        </w:rPr>
      </w:pPr>
      <w:bookmarkStart w:id="1" w:name="_Toc35393625"/>
      <w:bookmarkStart w:id="2" w:name="_Toc28359084"/>
      <w:bookmarkStart w:id="3" w:name="_Toc35393794"/>
      <w:bookmarkStart w:id="4" w:name="_Toc28359007"/>
      <w:r>
        <w:rPr>
          <w:rFonts w:asciiTheme="minorEastAsia" w:hAnsiTheme="minorEastAsia"/>
          <w:b/>
          <w:color w:val="auto"/>
          <w:sz w:val="24"/>
          <w:szCs w:val="24"/>
          <w:highlight w:val="none"/>
        </w:rPr>
        <w:t>六、公告期限</w:t>
      </w:r>
      <w:bookmarkEnd w:id="1"/>
      <w:bookmarkEnd w:id="2"/>
      <w:bookmarkEnd w:id="3"/>
      <w:bookmarkEnd w:id="4"/>
    </w:p>
    <w:p w14:paraId="557D3DCE">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自本公告发布之日起3个工作日。</w:t>
      </w:r>
    </w:p>
    <w:p w14:paraId="05A31359">
      <w:pPr>
        <w:spacing w:line="360" w:lineRule="auto"/>
        <w:jc w:val="left"/>
        <w:rPr>
          <w:rFonts w:asciiTheme="minorEastAsia" w:hAnsiTheme="minorEastAsia"/>
          <w:b/>
          <w:color w:val="auto"/>
          <w:sz w:val="24"/>
          <w:szCs w:val="24"/>
          <w:highlight w:val="none"/>
        </w:rPr>
      </w:pPr>
      <w:bookmarkStart w:id="5" w:name="_Toc35393795"/>
      <w:bookmarkStart w:id="6" w:name="_Toc35393626"/>
      <w:r>
        <w:rPr>
          <w:rFonts w:asciiTheme="minorEastAsia" w:hAnsiTheme="minorEastAsia"/>
          <w:b/>
          <w:color w:val="auto"/>
          <w:sz w:val="24"/>
          <w:szCs w:val="24"/>
          <w:highlight w:val="none"/>
        </w:rPr>
        <w:t>七、其他补充事宜</w:t>
      </w:r>
      <w:bookmarkEnd w:id="5"/>
      <w:bookmarkEnd w:id="6"/>
    </w:p>
    <w:p w14:paraId="1D0D64FC">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1.本项目需要落实的政府采购政策</w:t>
      </w:r>
      <w:r>
        <w:rPr>
          <w:rFonts w:hint="eastAsia" w:asciiTheme="minorEastAsia" w:hAnsiTheme="minorEastAsia"/>
          <w:color w:val="auto"/>
          <w:sz w:val="24"/>
          <w:szCs w:val="24"/>
          <w:highlight w:val="none"/>
        </w:rPr>
        <w:t>：促进中小企业及监狱企业发展、促进残疾人就业、政府采购节能产品、环境标志产品、支持乡村产业振兴管理、正版软件、政府采购创新产品政策、</w:t>
      </w:r>
      <w:r>
        <w:rPr>
          <w:rFonts w:hint="eastAsia" w:asciiTheme="minorEastAsia" w:hAnsiTheme="minorEastAsia"/>
          <w:color w:val="auto"/>
          <w:sz w:val="24"/>
          <w:highlight w:val="none"/>
        </w:rPr>
        <w:t>绿色采购政策</w:t>
      </w:r>
      <w:r>
        <w:rPr>
          <w:rFonts w:hint="eastAsia" w:asciiTheme="minorEastAsia" w:hAnsiTheme="minorEastAsia"/>
          <w:color w:val="auto"/>
          <w:sz w:val="24"/>
          <w:szCs w:val="24"/>
          <w:highlight w:val="none"/>
        </w:rPr>
        <w:t>具体落实情况详见磋商文件。</w:t>
      </w:r>
    </w:p>
    <w:p w14:paraId="395D96A7">
      <w:pPr>
        <w:spacing w:line="360" w:lineRule="auto"/>
        <w:ind w:firstLine="480" w:firstLineChars="200"/>
        <w:jc w:val="left"/>
        <w:rPr>
          <w:rFonts w:asciiTheme="minorEastAsia" w:hAnsiTheme="minorEastAsia"/>
          <w:bCs/>
          <w:color w:val="auto"/>
          <w:sz w:val="24"/>
          <w:szCs w:val="24"/>
          <w:highlight w:val="none"/>
        </w:rPr>
      </w:pPr>
      <w:r>
        <w:rPr>
          <w:rFonts w:hint="eastAsia" w:asciiTheme="minorEastAsia" w:hAnsiTheme="minorEastAsia"/>
          <w:color w:val="auto"/>
          <w:sz w:val="24"/>
          <w:szCs w:val="24"/>
          <w:highlight w:val="none"/>
        </w:rPr>
        <w:t>2</w:t>
      </w: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rPr>
        <w:t>根据省财政厅《关于更换全省政府采购交易系统CA数字证书和电子签章的通知》（苏财购〔2023〕101号）</w:t>
      </w:r>
      <w:r>
        <w:rPr>
          <w:rFonts w:hint="eastAsia" w:asciiTheme="minorEastAsia" w:hAnsiTheme="minorEastAsia"/>
          <w:bCs/>
          <w:color w:val="auto"/>
          <w:sz w:val="24"/>
          <w:szCs w:val="24"/>
          <w:highlight w:val="none"/>
        </w:rPr>
        <w:t>，</w:t>
      </w:r>
      <w:r>
        <w:rPr>
          <w:rFonts w:hint="eastAsia" w:asciiTheme="minorEastAsia" w:hAnsiTheme="minorEastAsia"/>
          <w:color w:val="auto"/>
          <w:sz w:val="24"/>
          <w:szCs w:val="24"/>
          <w:highlight w:val="none"/>
        </w:rPr>
        <w:t>“苏采云”政府采购交易系统（以下简称苏采云系统）</w:t>
      </w:r>
      <w:r>
        <w:rPr>
          <w:rFonts w:hint="eastAsia" w:asciiTheme="minorEastAsia" w:hAnsiTheme="minorEastAsia"/>
          <w:bCs/>
          <w:color w:val="auto"/>
          <w:sz w:val="24"/>
          <w:szCs w:val="24"/>
          <w:highlight w:val="none"/>
        </w:rPr>
        <w:t>的CA数字证书、电子签章已更换为江苏省电子政务证书认证中心C A和方正国际软件（北京）有限公司电子签章。如果投标人通过</w:t>
      </w:r>
      <w:r>
        <w:rPr>
          <w:rFonts w:hint="eastAsia" w:asciiTheme="minorEastAsia" w:hAnsiTheme="minorEastAsia"/>
          <w:color w:val="auto"/>
          <w:sz w:val="24"/>
          <w:szCs w:val="24"/>
          <w:highlight w:val="none"/>
        </w:rPr>
        <w:t>苏采云系统</w:t>
      </w:r>
      <w:r>
        <w:rPr>
          <w:rFonts w:hint="eastAsia" w:asciiTheme="minorEastAsia" w:hAnsiTheme="minorEastAsia"/>
          <w:bCs/>
          <w:color w:val="auto"/>
          <w:sz w:val="24"/>
          <w:szCs w:val="24"/>
          <w:highlight w:val="none"/>
        </w:rPr>
        <w:t>参与政府采购项目，需要更换CA数字证书和电子签章。</w:t>
      </w:r>
    </w:p>
    <w:p w14:paraId="6138E3A1">
      <w:pPr>
        <w:spacing w:line="360" w:lineRule="auto"/>
        <w:ind w:firstLine="480" w:firstLineChars="200"/>
        <w:jc w:val="left"/>
        <w:rPr>
          <w:rFonts w:asciiTheme="minorEastAsia" w:hAnsiTheme="minorEastAsia"/>
          <w:color w:val="auto"/>
          <w:sz w:val="24"/>
          <w:szCs w:val="24"/>
          <w:highlight w:val="none"/>
        </w:rPr>
      </w:pPr>
      <w:r>
        <w:rPr>
          <w:rFonts w:hint="eastAsia" w:asciiTheme="minorEastAsia" w:hAnsiTheme="minorEastAsia"/>
          <w:bCs/>
          <w:color w:val="auto"/>
          <w:sz w:val="24"/>
          <w:szCs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19BE1593">
      <w:pPr>
        <w:spacing w:line="360" w:lineRule="auto"/>
        <w:ind w:firstLine="480" w:firstLineChars="200"/>
        <w:rPr>
          <w:rFonts w:asciiTheme="minorEastAsia" w:hAnsiTheme="minorEastAsia"/>
          <w:bCs/>
          <w:color w:val="auto"/>
          <w:sz w:val="24"/>
          <w:szCs w:val="24"/>
          <w:highlight w:val="none"/>
        </w:rPr>
      </w:pPr>
      <w:r>
        <w:rPr>
          <w:rFonts w:asciiTheme="minorEastAsia" w:hAnsiTheme="minorEastAsia"/>
          <w:color w:val="auto"/>
          <w:sz w:val="24"/>
          <w:szCs w:val="24"/>
          <w:highlight w:val="none"/>
        </w:rPr>
        <w:t>3.</w:t>
      </w:r>
      <w:r>
        <w:rPr>
          <w:rFonts w:hint="eastAsia" w:asciiTheme="minorEastAsia" w:hAnsiTheme="minorEastAsia"/>
          <w:bCs/>
          <w:color w:val="auto"/>
          <w:sz w:val="24"/>
          <w:szCs w:val="24"/>
          <w:highlight w:val="none"/>
        </w:rPr>
        <w:t>有关本次磋商的事项若存在变动或修改，敬请及时关注“江苏政府采购网”</w:t>
      </w:r>
      <w:r>
        <w:rPr>
          <w:rFonts w:hint="eastAsia" w:asciiTheme="minorEastAsia" w:hAnsiTheme="minorEastAsia"/>
          <w:color w:val="auto"/>
          <w:sz w:val="24"/>
          <w:szCs w:val="24"/>
          <w:highlight w:val="none"/>
        </w:rPr>
        <w:t xml:space="preserve"> 、“常州市政府采购网”</w:t>
      </w:r>
      <w:r>
        <w:rPr>
          <w:rFonts w:hint="eastAsia" w:asciiTheme="minorEastAsia" w:hAnsiTheme="minorEastAsia"/>
          <w:bCs/>
          <w:color w:val="auto"/>
          <w:sz w:val="24"/>
          <w:szCs w:val="24"/>
          <w:highlight w:val="none"/>
        </w:rPr>
        <w:t>发布的公告。</w:t>
      </w:r>
    </w:p>
    <w:p w14:paraId="76F138C4">
      <w:pPr>
        <w:spacing w:line="360" w:lineRule="auto"/>
        <w:ind w:firstLine="480" w:firstLineChars="200"/>
        <w:rPr>
          <w:rFonts w:asciiTheme="minorEastAsia" w:hAnsiTheme="minorEastAsia"/>
          <w:color w:val="auto"/>
          <w:sz w:val="24"/>
          <w:szCs w:val="24"/>
          <w:highlight w:val="none"/>
        </w:rPr>
      </w:pPr>
      <w:r>
        <w:rPr>
          <w:rFonts w:asciiTheme="minorEastAsia" w:hAnsiTheme="minorEastAsia"/>
          <w:color w:val="auto"/>
          <w:sz w:val="24"/>
          <w:szCs w:val="24"/>
          <w:highlight w:val="none"/>
        </w:rPr>
        <w:t>4</w:t>
      </w:r>
      <w:r>
        <w:rPr>
          <w:rFonts w:hint="eastAsia" w:asciiTheme="minorEastAsia" w:hAnsiTheme="minorEastAsia"/>
          <w:color w:val="auto"/>
          <w:sz w:val="24"/>
          <w:szCs w:val="24"/>
          <w:highlight w:val="none"/>
        </w:rPr>
        <w:t>.关于常州市中小企业政府采购信用融资：</w:t>
      </w:r>
    </w:p>
    <w:p w14:paraId="31C6919E">
      <w:pPr>
        <w:spacing w:line="360" w:lineRule="auto"/>
        <w:ind w:firstLine="480" w:firstLineChars="2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599E6ACA">
      <w:pPr>
        <w:spacing w:line="360" w:lineRule="auto"/>
        <w:jc w:val="left"/>
        <w:rPr>
          <w:rFonts w:asciiTheme="minorEastAsia" w:hAnsiTheme="minorEastAsia"/>
          <w:b/>
          <w:color w:val="auto"/>
          <w:sz w:val="24"/>
          <w:szCs w:val="24"/>
          <w:highlight w:val="none"/>
        </w:rPr>
      </w:pPr>
      <w:bookmarkStart w:id="7" w:name="_Toc28359085"/>
      <w:bookmarkStart w:id="8" w:name="_Toc35393627"/>
      <w:bookmarkStart w:id="9" w:name="_Toc35393796"/>
      <w:bookmarkStart w:id="10" w:name="_Toc28359008"/>
      <w:r>
        <w:rPr>
          <w:rFonts w:asciiTheme="minorEastAsia" w:hAnsiTheme="minorEastAsia"/>
          <w:b/>
          <w:color w:val="auto"/>
          <w:sz w:val="24"/>
          <w:szCs w:val="24"/>
          <w:highlight w:val="none"/>
        </w:rPr>
        <w:t>八、对本项目提出询问，请按以下方式联系。</w:t>
      </w:r>
      <w:bookmarkEnd w:id="7"/>
      <w:bookmarkEnd w:id="8"/>
      <w:bookmarkEnd w:id="9"/>
      <w:bookmarkEnd w:id="10"/>
    </w:p>
    <w:p w14:paraId="7F9ADDF7">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1.采购人信息</w:t>
      </w:r>
    </w:p>
    <w:p w14:paraId="19C67299">
      <w:pPr>
        <w:spacing w:line="360" w:lineRule="auto"/>
        <w:ind w:firstLine="480" w:firstLineChars="200"/>
        <w:jc w:val="left"/>
        <w:rPr>
          <w:rFonts w:asciiTheme="minorEastAsia" w:hAnsiTheme="minorEastAsia"/>
          <w:color w:val="auto"/>
          <w:sz w:val="24"/>
          <w:szCs w:val="24"/>
          <w:highlight w:val="none"/>
        </w:rPr>
      </w:pPr>
      <w:bookmarkStart w:id="11" w:name="_Toc28359009"/>
      <w:bookmarkStart w:id="12" w:name="_Toc28359086"/>
      <w:r>
        <w:rPr>
          <w:rFonts w:asciiTheme="minorEastAsia" w:hAnsiTheme="minorEastAsia"/>
          <w:color w:val="auto"/>
          <w:sz w:val="24"/>
          <w:szCs w:val="24"/>
          <w:highlight w:val="none"/>
        </w:rPr>
        <w:t>名    称：</w:t>
      </w:r>
      <w:r>
        <w:rPr>
          <w:rFonts w:hint="eastAsia" w:asciiTheme="minorEastAsia" w:hAnsiTheme="minorEastAsia"/>
          <w:color w:val="auto"/>
          <w:sz w:val="24"/>
          <w:szCs w:val="24"/>
          <w:highlight w:val="none"/>
        </w:rPr>
        <w:t>常州市工业和信息化局</w:t>
      </w:r>
    </w:p>
    <w:p w14:paraId="6F91EB3D">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地    址：</w:t>
      </w:r>
      <w:r>
        <w:rPr>
          <w:rFonts w:hint="eastAsia" w:asciiTheme="minorEastAsia" w:hAnsiTheme="minorEastAsia"/>
          <w:color w:val="auto"/>
          <w:sz w:val="24"/>
          <w:szCs w:val="24"/>
          <w:highlight w:val="none"/>
        </w:rPr>
        <w:t>常州市龙城大道1280号</w:t>
      </w:r>
    </w:p>
    <w:p w14:paraId="12F8431B">
      <w:pPr>
        <w:spacing w:line="360" w:lineRule="auto"/>
        <w:ind w:firstLine="480" w:firstLineChars="200"/>
        <w:rPr>
          <w:rFonts w:asciiTheme="minorEastAsia" w:hAnsiTheme="minorEastAsia"/>
          <w:color w:val="auto"/>
          <w:sz w:val="24"/>
          <w:szCs w:val="24"/>
          <w:highlight w:val="none"/>
        </w:rPr>
      </w:pPr>
      <w:r>
        <w:rPr>
          <w:rFonts w:asciiTheme="minorEastAsia" w:hAnsiTheme="minorEastAsia"/>
          <w:color w:val="auto"/>
          <w:sz w:val="24"/>
          <w:szCs w:val="24"/>
          <w:highlight w:val="none"/>
        </w:rPr>
        <w:t>联系方式：</w:t>
      </w:r>
      <w:r>
        <w:rPr>
          <w:rFonts w:hint="eastAsia" w:asciiTheme="minorEastAsia" w:hAnsiTheme="minorEastAsia"/>
          <w:color w:val="auto"/>
          <w:sz w:val="24"/>
          <w:szCs w:val="24"/>
          <w:highlight w:val="none"/>
        </w:rPr>
        <w:t>宋女士 0519-85681212</w:t>
      </w:r>
    </w:p>
    <w:p w14:paraId="41C761E6">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2.采购代理机构信息</w:t>
      </w:r>
      <w:bookmarkEnd w:id="11"/>
      <w:bookmarkEnd w:id="12"/>
    </w:p>
    <w:p w14:paraId="2053E7F1">
      <w:pPr>
        <w:spacing w:line="360" w:lineRule="auto"/>
        <w:ind w:firstLine="480" w:firstLineChars="200"/>
        <w:jc w:val="left"/>
        <w:rPr>
          <w:rFonts w:asciiTheme="minorEastAsia" w:hAnsiTheme="minorEastAsia"/>
          <w:color w:val="auto"/>
          <w:sz w:val="24"/>
          <w:szCs w:val="24"/>
          <w:highlight w:val="none"/>
        </w:rPr>
      </w:pPr>
      <w:bookmarkStart w:id="13" w:name="_Toc28359087"/>
      <w:bookmarkStart w:id="14" w:name="_Toc28359010"/>
      <w:r>
        <w:rPr>
          <w:rFonts w:asciiTheme="minorEastAsia" w:hAnsiTheme="minorEastAsia"/>
          <w:color w:val="auto"/>
          <w:sz w:val="24"/>
          <w:szCs w:val="24"/>
          <w:highlight w:val="none"/>
        </w:rPr>
        <w:t>名    称：常州金诚招投标有限公司</w:t>
      </w:r>
    </w:p>
    <w:p w14:paraId="5C8E87C0">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地    址：常州市新北区汉江路368号金城大厦</w:t>
      </w:r>
      <w:r>
        <w:rPr>
          <w:rFonts w:hint="eastAsia" w:asciiTheme="minorEastAsia" w:hAnsiTheme="minorEastAsia"/>
          <w:color w:val="auto"/>
          <w:sz w:val="24"/>
          <w:szCs w:val="24"/>
          <w:highlight w:val="none"/>
        </w:rPr>
        <w:t>1910室</w:t>
      </w:r>
    </w:p>
    <w:p w14:paraId="30FCE869">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联系方式：</w:t>
      </w:r>
      <w:r>
        <w:rPr>
          <w:rFonts w:hint="eastAsia" w:asciiTheme="minorEastAsia" w:hAnsiTheme="minorEastAsia"/>
          <w:color w:val="auto"/>
          <w:sz w:val="24"/>
          <w:szCs w:val="24"/>
          <w:highlight w:val="none"/>
        </w:rPr>
        <w:t>0519－85183350</w:t>
      </w:r>
    </w:p>
    <w:p w14:paraId="5BED0FFF">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3.项目联系方式</w:t>
      </w:r>
      <w:bookmarkEnd w:id="13"/>
      <w:bookmarkEnd w:id="14"/>
    </w:p>
    <w:p w14:paraId="5A233B6C">
      <w:pPr>
        <w:spacing w:line="360" w:lineRule="auto"/>
        <w:ind w:firstLine="480" w:firstLineChars="2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项目联系人： </w:t>
      </w:r>
      <w:r>
        <w:rPr>
          <w:rFonts w:hint="eastAsia" w:asciiTheme="minorEastAsia" w:hAnsiTheme="minorEastAsia"/>
          <w:color w:val="auto"/>
          <w:sz w:val="24"/>
          <w:szCs w:val="24"/>
          <w:highlight w:val="none"/>
        </w:rPr>
        <w:t>袁涵</w:t>
      </w:r>
    </w:p>
    <w:p w14:paraId="2CF40CCB">
      <w:pPr>
        <w:spacing w:line="360" w:lineRule="auto"/>
        <w:ind w:firstLine="480" w:firstLineChars="200"/>
        <w:jc w:val="left"/>
        <w:rPr>
          <w:rFonts w:asciiTheme="minorEastAsia" w:hAnsiTheme="minorEastAsia"/>
          <w:color w:val="auto"/>
          <w:sz w:val="24"/>
          <w:szCs w:val="24"/>
          <w:highlight w:val="none"/>
        </w:rPr>
        <w:sectPr>
          <w:footerReference r:id="rId9" w:type="default"/>
          <w:pgSz w:w="11906" w:h="16838"/>
          <w:pgMar w:top="1440" w:right="1800" w:bottom="1440" w:left="1800" w:header="851" w:footer="992" w:gutter="0"/>
          <w:pgNumType w:start="1"/>
          <w:cols w:space="425" w:num="1"/>
          <w:docGrid w:type="lines" w:linePitch="312" w:charSpace="0"/>
        </w:sectPr>
      </w:pPr>
      <w:r>
        <w:rPr>
          <w:rFonts w:asciiTheme="minorEastAsia" w:hAnsiTheme="minorEastAsia"/>
          <w:color w:val="auto"/>
          <w:sz w:val="24"/>
          <w:szCs w:val="24"/>
          <w:highlight w:val="none"/>
        </w:rPr>
        <w:t>电      话：</w:t>
      </w:r>
      <w:r>
        <w:rPr>
          <w:rFonts w:hint="eastAsia" w:asciiTheme="minorEastAsia" w:hAnsiTheme="minorEastAsia"/>
          <w:color w:val="auto"/>
          <w:sz w:val="24"/>
          <w:szCs w:val="24"/>
          <w:highlight w:val="none"/>
        </w:rPr>
        <w:t>0519－85183350</w:t>
      </w:r>
    </w:p>
    <w:p w14:paraId="245906CB">
      <w:pPr>
        <w:pStyle w:val="2"/>
        <w:rPr>
          <w:rFonts w:asciiTheme="minorEastAsia" w:hAnsiTheme="minorEastAsia"/>
          <w:color w:val="auto"/>
          <w:highlight w:val="none"/>
        </w:rPr>
      </w:pPr>
      <w:bookmarkStart w:id="15" w:name="_Toc5132"/>
      <w:r>
        <w:rPr>
          <w:rFonts w:hint="eastAsia" w:asciiTheme="minorEastAsia" w:hAnsiTheme="minorEastAsia"/>
          <w:color w:val="auto"/>
          <w:highlight w:val="none"/>
        </w:rPr>
        <w:t>第二章 供应商须知</w:t>
      </w:r>
      <w:bookmarkEnd w:id="15"/>
    </w:p>
    <w:p w14:paraId="19EE6967">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供应商须知资料表</w:t>
      </w:r>
    </w:p>
    <w:p w14:paraId="360A6936">
      <w:pPr>
        <w:spacing w:line="360"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本表是对供应商须知的具体补充和修改，如有矛盾，均以本资料表为准。</w:t>
      </w:r>
    </w:p>
    <w:tbl>
      <w:tblPr>
        <w:tblStyle w:val="21"/>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6"/>
        <w:gridCol w:w="1843"/>
        <w:gridCol w:w="6095"/>
      </w:tblGrid>
      <w:tr w14:paraId="070A5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1166" w:type="dxa"/>
            <w:vAlign w:val="center"/>
          </w:tcPr>
          <w:p w14:paraId="7D707BB8">
            <w:pPr>
              <w:spacing w:line="276" w:lineRule="auto"/>
              <w:jc w:val="left"/>
              <w:rPr>
                <w:rFonts w:asciiTheme="minorEastAsia" w:hAnsiTheme="minorEastAsia"/>
                <w:b/>
                <w:color w:val="auto"/>
                <w:sz w:val="24"/>
                <w:szCs w:val="24"/>
                <w:highlight w:val="none"/>
              </w:rPr>
            </w:pPr>
            <w:r>
              <w:rPr>
                <w:rFonts w:asciiTheme="minorEastAsia" w:hAnsiTheme="minorEastAsia"/>
                <w:b/>
                <w:color w:val="auto"/>
                <w:sz w:val="24"/>
                <w:szCs w:val="24"/>
                <w:highlight w:val="none"/>
              </w:rPr>
              <w:t>条款号</w:t>
            </w:r>
          </w:p>
        </w:tc>
        <w:tc>
          <w:tcPr>
            <w:tcW w:w="1843" w:type="dxa"/>
            <w:vAlign w:val="center"/>
          </w:tcPr>
          <w:p w14:paraId="584E9F1C">
            <w:pPr>
              <w:spacing w:line="276" w:lineRule="auto"/>
              <w:jc w:val="left"/>
              <w:rPr>
                <w:rFonts w:asciiTheme="minorEastAsia" w:hAnsiTheme="minorEastAsia"/>
                <w:b/>
                <w:color w:val="auto"/>
                <w:sz w:val="24"/>
                <w:szCs w:val="24"/>
                <w:highlight w:val="none"/>
              </w:rPr>
            </w:pPr>
            <w:r>
              <w:rPr>
                <w:rFonts w:asciiTheme="minorEastAsia" w:hAnsiTheme="minorEastAsia"/>
                <w:b/>
                <w:color w:val="auto"/>
                <w:sz w:val="24"/>
                <w:szCs w:val="24"/>
                <w:highlight w:val="none"/>
              </w:rPr>
              <w:t>条目</w:t>
            </w:r>
          </w:p>
        </w:tc>
        <w:tc>
          <w:tcPr>
            <w:tcW w:w="6095" w:type="dxa"/>
            <w:vAlign w:val="center"/>
          </w:tcPr>
          <w:p w14:paraId="05B065A2">
            <w:pPr>
              <w:spacing w:line="276" w:lineRule="auto"/>
              <w:jc w:val="left"/>
              <w:rPr>
                <w:rFonts w:asciiTheme="minorEastAsia" w:hAnsiTheme="minorEastAsia"/>
                <w:b/>
                <w:color w:val="auto"/>
                <w:sz w:val="24"/>
                <w:szCs w:val="24"/>
                <w:highlight w:val="none"/>
              </w:rPr>
            </w:pPr>
            <w:r>
              <w:rPr>
                <w:rFonts w:asciiTheme="minorEastAsia" w:hAnsiTheme="minorEastAsia"/>
                <w:b/>
                <w:color w:val="auto"/>
                <w:sz w:val="24"/>
                <w:szCs w:val="24"/>
                <w:highlight w:val="none"/>
              </w:rPr>
              <w:t>内容</w:t>
            </w:r>
          </w:p>
        </w:tc>
      </w:tr>
      <w:tr w14:paraId="5A6A9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1166" w:type="dxa"/>
            <w:vAlign w:val="center"/>
          </w:tcPr>
          <w:p w14:paraId="5967BCCA">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2.2</w:t>
            </w:r>
          </w:p>
        </w:tc>
        <w:tc>
          <w:tcPr>
            <w:tcW w:w="1843" w:type="dxa"/>
            <w:vAlign w:val="center"/>
          </w:tcPr>
          <w:p w14:paraId="5B36C636">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项目属性</w:t>
            </w:r>
          </w:p>
        </w:tc>
        <w:tc>
          <w:tcPr>
            <w:tcW w:w="6095" w:type="dxa"/>
            <w:vAlign w:val="center"/>
          </w:tcPr>
          <w:p w14:paraId="520F55FE">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项目属性：</w:t>
            </w:r>
          </w:p>
          <w:p w14:paraId="6D103160">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服务</w:t>
            </w:r>
          </w:p>
          <w:p w14:paraId="5292016F">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□货物</w:t>
            </w:r>
          </w:p>
          <w:p w14:paraId="5C1B8C35">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rPr>
              <w:t>工程</w:t>
            </w:r>
          </w:p>
        </w:tc>
      </w:tr>
      <w:tr w14:paraId="314AA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66" w:type="dxa"/>
            <w:vAlign w:val="center"/>
          </w:tcPr>
          <w:p w14:paraId="51B10EFB">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2.3</w:t>
            </w:r>
          </w:p>
        </w:tc>
        <w:tc>
          <w:tcPr>
            <w:tcW w:w="1843" w:type="dxa"/>
            <w:vAlign w:val="center"/>
          </w:tcPr>
          <w:p w14:paraId="4BA5C4C0">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科研仪器设备</w:t>
            </w:r>
          </w:p>
        </w:tc>
        <w:tc>
          <w:tcPr>
            <w:tcW w:w="6095" w:type="dxa"/>
            <w:vAlign w:val="center"/>
          </w:tcPr>
          <w:p w14:paraId="7DE64AA9">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是否属于科研仪器设备采购项目：</w:t>
            </w:r>
          </w:p>
          <w:p w14:paraId="6D627F3F">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□是</w:t>
            </w:r>
          </w:p>
          <w:p w14:paraId="10A88D5D">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否</w:t>
            </w:r>
          </w:p>
        </w:tc>
      </w:tr>
      <w:tr w14:paraId="4F332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66" w:type="dxa"/>
            <w:vMerge w:val="restart"/>
            <w:vAlign w:val="center"/>
          </w:tcPr>
          <w:p w14:paraId="4490D11F">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3.1</w:t>
            </w:r>
          </w:p>
        </w:tc>
        <w:tc>
          <w:tcPr>
            <w:tcW w:w="1843" w:type="dxa"/>
            <w:vAlign w:val="center"/>
          </w:tcPr>
          <w:p w14:paraId="152B4A28">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现场考察</w:t>
            </w:r>
          </w:p>
        </w:tc>
        <w:tc>
          <w:tcPr>
            <w:tcW w:w="6095" w:type="dxa"/>
            <w:vAlign w:val="center"/>
          </w:tcPr>
          <w:p w14:paraId="620A5445">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不组织</w:t>
            </w:r>
          </w:p>
          <w:p w14:paraId="7641CE31">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□组织，考察时间：___年___月___日___点___分</w:t>
            </w:r>
          </w:p>
          <w:p w14:paraId="26BF2C11">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考察地点：___________。</w:t>
            </w:r>
          </w:p>
        </w:tc>
      </w:tr>
      <w:tr w14:paraId="172D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66" w:type="dxa"/>
            <w:vMerge w:val="continue"/>
            <w:vAlign w:val="center"/>
          </w:tcPr>
          <w:p w14:paraId="09302BEA">
            <w:pPr>
              <w:spacing w:line="276" w:lineRule="auto"/>
              <w:jc w:val="left"/>
              <w:rPr>
                <w:rFonts w:asciiTheme="minorEastAsia" w:hAnsiTheme="minorEastAsia"/>
                <w:color w:val="auto"/>
                <w:sz w:val="24"/>
                <w:szCs w:val="24"/>
                <w:highlight w:val="none"/>
              </w:rPr>
            </w:pPr>
          </w:p>
        </w:tc>
        <w:tc>
          <w:tcPr>
            <w:tcW w:w="1843" w:type="dxa"/>
            <w:vAlign w:val="center"/>
          </w:tcPr>
          <w:p w14:paraId="725599CF">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磋商前答疑会</w:t>
            </w:r>
          </w:p>
        </w:tc>
        <w:tc>
          <w:tcPr>
            <w:tcW w:w="6095" w:type="dxa"/>
            <w:vAlign w:val="center"/>
          </w:tcPr>
          <w:p w14:paraId="4DDC1CBB">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不召开</w:t>
            </w:r>
          </w:p>
          <w:p w14:paraId="3E75B32F">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□召开，召开时间：___年___月___日___点___分</w:t>
            </w:r>
          </w:p>
          <w:p w14:paraId="0502643A">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召开地点：___________</w:t>
            </w:r>
            <w:r>
              <w:rPr>
                <w:rFonts w:hint="eastAsia" w:asciiTheme="minorEastAsia" w:hAnsiTheme="minorEastAsia"/>
                <w:color w:val="auto"/>
                <w:sz w:val="24"/>
                <w:szCs w:val="24"/>
                <w:highlight w:val="none"/>
              </w:rPr>
              <w:t>。</w:t>
            </w:r>
          </w:p>
        </w:tc>
      </w:tr>
      <w:tr w14:paraId="4E35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166" w:type="dxa"/>
            <w:vAlign w:val="center"/>
          </w:tcPr>
          <w:p w14:paraId="6ABBCFEB">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4.2.5</w:t>
            </w:r>
          </w:p>
        </w:tc>
        <w:tc>
          <w:tcPr>
            <w:tcW w:w="1843" w:type="dxa"/>
            <w:vAlign w:val="center"/>
          </w:tcPr>
          <w:p w14:paraId="29B5C3C5">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标的所属行业</w:t>
            </w:r>
          </w:p>
        </w:tc>
        <w:tc>
          <w:tcPr>
            <w:tcW w:w="6095" w:type="dxa"/>
            <w:vAlign w:val="center"/>
          </w:tcPr>
          <w:p w14:paraId="7EC89682">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本项目采购标的对应的企业划分标准所属行业</w:t>
            </w:r>
            <w:r>
              <w:rPr>
                <w:rFonts w:hint="eastAsia" w:asciiTheme="minorEastAsia" w:hAnsiTheme="minorEastAsia"/>
                <w:color w:val="auto"/>
                <w:sz w:val="24"/>
                <w:szCs w:val="24"/>
                <w:highlight w:val="none"/>
              </w:rPr>
              <w:t>：其他未列明行业</w:t>
            </w:r>
          </w:p>
        </w:tc>
      </w:tr>
      <w:tr w14:paraId="1CF50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1166" w:type="dxa"/>
            <w:vAlign w:val="center"/>
          </w:tcPr>
          <w:p w14:paraId="7F4FD6DE">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10.2</w:t>
            </w:r>
          </w:p>
        </w:tc>
        <w:tc>
          <w:tcPr>
            <w:tcW w:w="1843" w:type="dxa"/>
            <w:vAlign w:val="center"/>
          </w:tcPr>
          <w:p w14:paraId="74347351">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报价</w:t>
            </w:r>
          </w:p>
        </w:tc>
        <w:tc>
          <w:tcPr>
            <w:tcW w:w="6095" w:type="dxa"/>
            <w:vAlign w:val="center"/>
          </w:tcPr>
          <w:p w14:paraId="51B4D763">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本项目共2轮报价（响应文件中的报价为第1轮），具体详见第三章第2</w:t>
            </w:r>
            <w:r>
              <w:rPr>
                <w:rFonts w:asciiTheme="minorEastAsia" w:hAnsiTheme="minorEastAsia"/>
                <w:color w:val="auto"/>
                <w:sz w:val="24"/>
                <w:szCs w:val="24"/>
                <w:highlight w:val="none"/>
              </w:rPr>
              <w:t>.6</w:t>
            </w:r>
            <w:r>
              <w:rPr>
                <w:rFonts w:hint="eastAsia" w:asciiTheme="minorEastAsia" w:hAnsiTheme="minorEastAsia"/>
                <w:color w:val="auto"/>
                <w:sz w:val="24"/>
                <w:szCs w:val="24"/>
                <w:highlight w:val="none"/>
              </w:rPr>
              <w:t>条的具体要求。</w:t>
            </w:r>
          </w:p>
          <w:p w14:paraId="31A429D0">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报价的特殊规定：</w:t>
            </w:r>
          </w:p>
          <w:p w14:paraId="46E58D99">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无</w:t>
            </w:r>
          </w:p>
          <w:p w14:paraId="4D564EDA">
            <w:pPr>
              <w:spacing w:line="276" w:lineRule="auto"/>
              <w:jc w:val="left"/>
              <w:rPr>
                <w:color w:val="auto"/>
                <w:highlight w:val="none"/>
              </w:rPr>
            </w:pPr>
            <w:r>
              <w:rPr>
                <w:rFonts w:asciiTheme="minorEastAsia" w:hAnsiTheme="minorEastAsia"/>
                <w:color w:val="auto"/>
                <w:sz w:val="24"/>
                <w:szCs w:val="24"/>
                <w:highlight w:val="none"/>
              </w:rPr>
              <w:t>□有，具体情形</w:t>
            </w: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 xml:space="preserve"> </w:t>
            </w:r>
          </w:p>
        </w:tc>
      </w:tr>
      <w:tr w14:paraId="0AE7B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1166" w:type="dxa"/>
            <w:vAlign w:val="center"/>
          </w:tcPr>
          <w:p w14:paraId="1E032B1C">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11.1</w:t>
            </w:r>
          </w:p>
        </w:tc>
        <w:tc>
          <w:tcPr>
            <w:tcW w:w="1843" w:type="dxa"/>
            <w:vAlign w:val="center"/>
          </w:tcPr>
          <w:p w14:paraId="2C51FD79">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磋商保证金</w:t>
            </w:r>
          </w:p>
        </w:tc>
        <w:tc>
          <w:tcPr>
            <w:tcW w:w="6095" w:type="dxa"/>
            <w:vAlign w:val="center"/>
          </w:tcPr>
          <w:p w14:paraId="0C45186C">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免收</w:t>
            </w:r>
          </w:p>
        </w:tc>
      </w:tr>
      <w:tr w14:paraId="39AA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1166" w:type="dxa"/>
            <w:vAlign w:val="center"/>
          </w:tcPr>
          <w:p w14:paraId="273237D1">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12.1</w:t>
            </w:r>
          </w:p>
        </w:tc>
        <w:tc>
          <w:tcPr>
            <w:tcW w:w="1843" w:type="dxa"/>
            <w:vAlign w:val="center"/>
          </w:tcPr>
          <w:p w14:paraId="6409BC26">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响应有效期</w:t>
            </w:r>
          </w:p>
        </w:tc>
        <w:tc>
          <w:tcPr>
            <w:tcW w:w="6095" w:type="dxa"/>
            <w:vAlign w:val="center"/>
          </w:tcPr>
          <w:p w14:paraId="498D6641">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自提交响应文件的截止之日起算</w:t>
            </w:r>
            <w:r>
              <w:rPr>
                <w:rFonts w:hint="eastAsia" w:asciiTheme="minorEastAsia" w:hAnsiTheme="minorEastAsia"/>
                <w:color w:val="auto"/>
                <w:sz w:val="24"/>
                <w:szCs w:val="24"/>
                <w:highlight w:val="none"/>
              </w:rPr>
              <w:t>60</w:t>
            </w:r>
            <w:r>
              <w:rPr>
                <w:rFonts w:asciiTheme="minorEastAsia" w:hAnsiTheme="minorEastAsia"/>
                <w:color w:val="auto"/>
                <w:sz w:val="24"/>
                <w:szCs w:val="24"/>
                <w:highlight w:val="none"/>
              </w:rPr>
              <w:t>日历天。</w:t>
            </w:r>
          </w:p>
        </w:tc>
      </w:tr>
      <w:tr w14:paraId="59CEC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1166" w:type="dxa"/>
            <w:vAlign w:val="center"/>
          </w:tcPr>
          <w:p w14:paraId="2AA27650">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23.5</w:t>
            </w:r>
          </w:p>
        </w:tc>
        <w:tc>
          <w:tcPr>
            <w:tcW w:w="1843" w:type="dxa"/>
            <w:vAlign w:val="center"/>
          </w:tcPr>
          <w:p w14:paraId="73AE2DF9">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分包</w:t>
            </w:r>
          </w:p>
        </w:tc>
        <w:tc>
          <w:tcPr>
            <w:tcW w:w="6095" w:type="dxa"/>
            <w:vAlign w:val="center"/>
          </w:tcPr>
          <w:p w14:paraId="0DB0342B">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 xml:space="preserve">本项目是否允许分包： </w:t>
            </w:r>
          </w:p>
          <w:p w14:paraId="20A981EB">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不允许</w:t>
            </w:r>
          </w:p>
          <w:p w14:paraId="38BC186F">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□允许，具体要求：_______。</w:t>
            </w:r>
          </w:p>
          <w:p w14:paraId="2BE6B545">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（1）可以分包履行的具体内容：_______；</w:t>
            </w:r>
          </w:p>
          <w:p w14:paraId="1B6B178B">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（2）允许分包的金额或者比例：_______；</w:t>
            </w:r>
          </w:p>
          <w:p w14:paraId="44995AEE">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（3）其他要求：_______。</w:t>
            </w:r>
          </w:p>
        </w:tc>
      </w:tr>
      <w:tr w14:paraId="36D74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166" w:type="dxa"/>
            <w:vAlign w:val="center"/>
          </w:tcPr>
          <w:p w14:paraId="4EAABB4B">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24.1</w:t>
            </w:r>
          </w:p>
        </w:tc>
        <w:tc>
          <w:tcPr>
            <w:tcW w:w="1843" w:type="dxa"/>
            <w:vAlign w:val="center"/>
          </w:tcPr>
          <w:p w14:paraId="1CD8A111">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询问</w:t>
            </w:r>
          </w:p>
        </w:tc>
        <w:tc>
          <w:tcPr>
            <w:tcW w:w="6095" w:type="dxa"/>
            <w:vAlign w:val="center"/>
          </w:tcPr>
          <w:p w14:paraId="1CCC13DE">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询问送达形式：</w:t>
            </w:r>
            <w:r>
              <w:rPr>
                <w:rFonts w:hint="eastAsia" w:asciiTheme="minorEastAsia" w:hAnsiTheme="minorEastAsia"/>
                <w:color w:val="auto"/>
                <w:sz w:val="24"/>
                <w:szCs w:val="24"/>
                <w:highlight w:val="none"/>
              </w:rPr>
              <w:t>纸质书面送达。</w:t>
            </w:r>
          </w:p>
        </w:tc>
      </w:tr>
      <w:tr w14:paraId="52E71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166" w:type="dxa"/>
            <w:vAlign w:val="center"/>
          </w:tcPr>
          <w:p w14:paraId="4563ED5C">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24.2</w:t>
            </w:r>
          </w:p>
        </w:tc>
        <w:tc>
          <w:tcPr>
            <w:tcW w:w="1843" w:type="dxa"/>
            <w:vAlign w:val="center"/>
          </w:tcPr>
          <w:p w14:paraId="67F1B159">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质疑</w:t>
            </w:r>
          </w:p>
        </w:tc>
        <w:tc>
          <w:tcPr>
            <w:tcW w:w="6095" w:type="dxa"/>
            <w:vAlign w:val="center"/>
          </w:tcPr>
          <w:p w14:paraId="1E8F10B7">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质疑</w:t>
            </w:r>
            <w:r>
              <w:rPr>
                <w:rFonts w:asciiTheme="minorEastAsia" w:hAnsiTheme="minorEastAsia"/>
                <w:color w:val="auto"/>
                <w:sz w:val="24"/>
                <w:szCs w:val="24"/>
                <w:highlight w:val="none"/>
              </w:rPr>
              <w:t>送达形式：</w:t>
            </w:r>
            <w:r>
              <w:rPr>
                <w:rFonts w:hint="eastAsia" w:asciiTheme="minorEastAsia" w:hAnsiTheme="minorEastAsia"/>
                <w:color w:val="auto"/>
                <w:sz w:val="24"/>
                <w:szCs w:val="24"/>
                <w:highlight w:val="none"/>
              </w:rPr>
              <w:t>纸质书面送达。</w:t>
            </w:r>
          </w:p>
        </w:tc>
      </w:tr>
      <w:tr w14:paraId="51274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jc w:val="center"/>
        </w:trPr>
        <w:tc>
          <w:tcPr>
            <w:tcW w:w="1166" w:type="dxa"/>
            <w:vAlign w:val="center"/>
          </w:tcPr>
          <w:p w14:paraId="7463BFFF">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24.3</w:t>
            </w:r>
          </w:p>
        </w:tc>
        <w:tc>
          <w:tcPr>
            <w:tcW w:w="1843" w:type="dxa"/>
            <w:vAlign w:val="center"/>
          </w:tcPr>
          <w:p w14:paraId="2435057B">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联系方式</w:t>
            </w:r>
          </w:p>
        </w:tc>
        <w:tc>
          <w:tcPr>
            <w:tcW w:w="6095" w:type="dxa"/>
            <w:vAlign w:val="center"/>
          </w:tcPr>
          <w:p w14:paraId="1A665864">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接收询问和质疑的联系方式</w:t>
            </w:r>
          </w:p>
          <w:p w14:paraId="17D8C3B2">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联系部门：</w:t>
            </w:r>
            <w:r>
              <w:rPr>
                <w:rFonts w:hint="eastAsia" w:asciiTheme="minorEastAsia" w:hAnsiTheme="minorEastAsia"/>
                <w:color w:val="auto"/>
                <w:sz w:val="24"/>
                <w:szCs w:val="24"/>
                <w:highlight w:val="none"/>
              </w:rPr>
              <w:t>常州金诚招投标有限公司</w:t>
            </w:r>
            <w:r>
              <w:rPr>
                <w:rFonts w:asciiTheme="minorEastAsia" w:hAnsiTheme="minorEastAsia"/>
                <w:color w:val="auto"/>
                <w:sz w:val="24"/>
                <w:szCs w:val="24"/>
                <w:highlight w:val="none"/>
              </w:rPr>
              <w:t>；</w:t>
            </w:r>
          </w:p>
          <w:p w14:paraId="5BF3CECF">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联系电话：</w:t>
            </w:r>
            <w:r>
              <w:rPr>
                <w:rFonts w:hint="eastAsia" w:asciiTheme="minorEastAsia" w:hAnsiTheme="minorEastAsia"/>
                <w:color w:val="auto"/>
                <w:sz w:val="24"/>
                <w:szCs w:val="24"/>
                <w:highlight w:val="none"/>
              </w:rPr>
              <w:t>0519－85183350</w:t>
            </w:r>
            <w:r>
              <w:rPr>
                <w:rFonts w:asciiTheme="minorEastAsia" w:hAnsiTheme="minorEastAsia"/>
                <w:color w:val="auto"/>
                <w:sz w:val="24"/>
                <w:szCs w:val="24"/>
                <w:highlight w:val="none"/>
              </w:rPr>
              <w:t>；</w:t>
            </w:r>
          </w:p>
          <w:p w14:paraId="1431C136">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通讯地址：</w:t>
            </w:r>
            <w:r>
              <w:rPr>
                <w:rFonts w:hint="eastAsia" w:asciiTheme="minorEastAsia" w:hAnsiTheme="minorEastAsia"/>
                <w:color w:val="auto"/>
                <w:sz w:val="24"/>
                <w:szCs w:val="24"/>
                <w:highlight w:val="none"/>
              </w:rPr>
              <w:t>常州市新北区汉江路368号金城大厦</w:t>
            </w:r>
            <w:r>
              <w:rPr>
                <w:rFonts w:asciiTheme="minorEastAsia" w:hAnsiTheme="minorEastAsia"/>
                <w:color w:val="auto"/>
                <w:sz w:val="24"/>
                <w:szCs w:val="24"/>
                <w:highlight w:val="none"/>
              </w:rPr>
              <w:t>19</w:t>
            </w:r>
            <w:r>
              <w:rPr>
                <w:rFonts w:hint="eastAsia" w:asciiTheme="minorEastAsia" w:hAnsiTheme="minorEastAsia"/>
                <w:color w:val="auto"/>
                <w:sz w:val="24"/>
                <w:szCs w:val="24"/>
                <w:highlight w:val="none"/>
              </w:rPr>
              <w:t>10室常州金诚招投标有限公司（综合办公室）</w:t>
            </w:r>
            <w:r>
              <w:rPr>
                <w:rFonts w:asciiTheme="minorEastAsia" w:hAnsiTheme="minorEastAsia"/>
                <w:color w:val="auto"/>
                <w:sz w:val="24"/>
                <w:szCs w:val="24"/>
                <w:highlight w:val="none"/>
              </w:rPr>
              <w:t>。</w:t>
            </w:r>
          </w:p>
        </w:tc>
      </w:tr>
      <w:tr w14:paraId="10071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6" w:hRule="atLeast"/>
          <w:jc w:val="center"/>
        </w:trPr>
        <w:tc>
          <w:tcPr>
            <w:tcW w:w="1166" w:type="dxa"/>
            <w:vAlign w:val="center"/>
          </w:tcPr>
          <w:p w14:paraId="1B54F7C3">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25</w:t>
            </w:r>
          </w:p>
        </w:tc>
        <w:tc>
          <w:tcPr>
            <w:tcW w:w="1843" w:type="dxa"/>
            <w:vAlign w:val="center"/>
          </w:tcPr>
          <w:p w14:paraId="294C9D50">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代理费</w:t>
            </w:r>
          </w:p>
        </w:tc>
        <w:tc>
          <w:tcPr>
            <w:tcW w:w="6095" w:type="dxa"/>
            <w:vAlign w:val="center"/>
          </w:tcPr>
          <w:p w14:paraId="06106F14">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收费对象：</w:t>
            </w:r>
          </w:p>
          <w:p w14:paraId="5FBEE137">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□采购人</w:t>
            </w:r>
          </w:p>
          <w:p w14:paraId="7E9E857A">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w:t>
            </w:r>
            <w:r>
              <w:rPr>
                <w:rFonts w:asciiTheme="minorEastAsia" w:hAnsiTheme="minorEastAsia"/>
                <w:color w:val="auto"/>
                <w:sz w:val="24"/>
                <w:szCs w:val="24"/>
                <w:highlight w:val="none"/>
              </w:rPr>
              <w:t>成交供应商</w:t>
            </w:r>
          </w:p>
          <w:p w14:paraId="51A1D909">
            <w:pPr>
              <w:spacing w:line="276" w:lineRule="auto"/>
              <w:jc w:val="left"/>
              <w:rPr>
                <w:color w:val="auto"/>
                <w:sz w:val="24"/>
                <w:highlight w:val="none"/>
              </w:rPr>
            </w:pPr>
            <w:r>
              <w:rPr>
                <w:rFonts w:hint="eastAsia" w:asciiTheme="minorEastAsia" w:hAnsiTheme="minorEastAsia"/>
                <w:b/>
                <w:bCs/>
                <w:color w:val="auto"/>
                <w:sz w:val="24"/>
                <w:szCs w:val="24"/>
                <w:highlight w:val="none"/>
              </w:rPr>
              <w:t>代理服务费：</w:t>
            </w:r>
            <w:r>
              <w:rPr>
                <w:rFonts w:hint="eastAsia"/>
                <w:color w:val="auto"/>
                <w:sz w:val="24"/>
                <w:highlight w:val="none"/>
                <w:lang w:val="zh-TW"/>
              </w:rPr>
              <w:t>收费比例按差额定率累进法计算：以成交金额为基数，按100万以下*1.5%计算、100万元（含）—500万元0.8%。</w:t>
            </w:r>
            <w:r>
              <w:rPr>
                <w:rFonts w:hint="eastAsia"/>
                <w:color w:val="auto"/>
                <w:sz w:val="24"/>
                <w:highlight w:val="none"/>
              </w:rPr>
              <w:t>如按上述计算方法代理费服务费不足3000元，则按3000元收取。</w:t>
            </w:r>
          </w:p>
          <w:p w14:paraId="3C9C1516">
            <w:pPr>
              <w:spacing w:line="276" w:lineRule="auto"/>
              <w:jc w:val="left"/>
              <w:rPr>
                <w:rFonts w:asciiTheme="minorEastAsia" w:hAnsiTheme="minorEastAsia"/>
                <w:color w:val="auto"/>
                <w:sz w:val="24"/>
                <w:szCs w:val="24"/>
                <w:highlight w:val="none"/>
              </w:rPr>
            </w:pPr>
            <w:r>
              <w:rPr>
                <w:rFonts w:asciiTheme="minorEastAsia" w:hAnsiTheme="minorEastAsia"/>
                <w:b/>
                <w:bCs/>
                <w:color w:val="auto"/>
                <w:sz w:val="24"/>
                <w:szCs w:val="24"/>
                <w:highlight w:val="none"/>
              </w:rPr>
              <w:t>缴纳时间：</w:t>
            </w:r>
            <w:r>
              <w:rPr>
                <w:rFonts w:hint="eastAsia"/>
                <w:color w:val="auto"/>
                <w:sz w:val="24"/>
                <w:highlight w:val="none"/>
              </w:rPr>
              <w:t>成交后，领取成交通知书前</w:t>
            </w:r>
            <w:r>
              <w:rPr>
                <w:color w:val="auto"/>
                <w:sz w:val="24"/>
                <w:highlight w:val="none"/>
              </w:rPr>
              <w:t>。</w:t>
            </w:r>
          </w:p>
        </w:tc>
      </w:tr>
      <w:tr w14:paraId="3703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166" w:type="dxa"/>
            <w:vAlign w:val="center"/>
          </w:tcPr>
          <w:p w14:paraId="0F9B0236">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26</w:t>
            </w:r>
          </w:p>
        </w:tc>
        <w:tc>
          <w:tcPr>
            <w:tcW w:w="1843" w:type="dxa"/>
            <w:vAlign w:val="center"/>
          </w:tcPr>
          <w:p w14:paraId="6ECBD353">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履约保证金</w:t>
            </w:r>
          </w:p>
        </w:tc>
        <w:tc>
          <w:tcPr>
            <w:tcW w:w="6095" w:type="dxa"/>
            <w:vAlign w:val="center"/>
          </w:tcPr>
          <w:p w14:paraId="63E4C223">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■免收</w:t>
            </w:r>
          </w:p>
          <w:p w14:paraId="0526F13D">
            <w:pPr>
              <w:spacing w:line="276" w:lineRule="auto"/>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rPr>
              <w:t>/元，由采购人自行收取</w:t>
            </w:r>
          </w:p>
        </w:tc>
      </w:tr>
      <w:tr w14:paraId="7E79A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166" w:type="dxa"/>
            <w:vAlign w:val="center"/>
          </w:tcPr>
          <w:p w14:paraId="710022F0">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27</w:t>
            </w:r>
          </w:p>
        </w:tc>
        <w:tc>
          <w:tcPr>
            <w:tcW w:w="1843" w:type="dxa"/>
            <w:vAlign w:val="center"/>
          </w:tcPr>
          <w:p w14:paraId="53095B42">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纸质投标文件</w:t>
            </w:r>
          </w:p>
        </w:tc>
        <w:tc>
          <w:tcPr>
            <w:tcW w:w="6095" w:type="dxa"/>
            <w:vAlign w:val="center"/>
          </w:tcPr>
          <w:p w14:paraId="52B6E7EA">
            <w:pPr>
              <w:spacing w:line="276" w:lineRule="auto"/>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成交供应商在签订合同前向代理机构</w:t>
            </w:r>
            <w:r>
              <w:rPr>
                <w:rFonts w:asciiTheme="minorEastAsia" w:hAnsiTheme="minorEastAsia"/>
                <w:color w:val="auto"/>
                <w:sz w:val="24"/>
                <w:szCs w:val="24"/>
                <w:highlight w:val="none"/>
              </w:rPr>
              <w:t>提供正本1套</w:t>
            </w:r>
            <w:r>
              <w:rPr>
                <w:rFonts w:hint="eastAsia" w:asciiTheme="minorEastAsia" w:hAnsiTheme="minorEastAsia"/>
                <w:color w:val="auto"/>
                <w:sz w:val="24"/>
                <w:szCs w:val="24"/>
                <w:highlight w:val="none"/>
              </w:rPr>
              <w:t>响应</w:t>
            </w:r>
            <w:r>
              <w:rPr>
                <w:rFonts w:asciiTheme="minorEastAsia" w:hAnsiTheme="minorEastAsia"/>
                <w:color w:val="auto"/>
                <w:sz w:val="24"/>
                <w:szCs w:val="24"/>
                <w:highlight w:val="none"/>
              </w:rPr>
              <w:t>文件</w:t>
            </w:r>
            <w:r>
              <w:rPr>
                <w:rFonts w:hint="eastAsia" w:asciiTheme="minorEastAsia" w:hAnsiTheme="minorEastAsia"/>
                <w:color w:val="auto"/>
                <w:sz w:val="24"/>
                <w:szCs w:val="24"/>
                <w:highlight w:val="none"/>
              </w:rPr>
              <w:t>。</w:t>
            </w:r>
          </w:p>
        </w:tc>
      </w:tr>
    </w:tbl>
    <w:p w14:paraId="1BF39D2C">
      <w:pPr>
        <w:widowControl/>
        <w:jc w:val="left"/>
        <w:rPr>
          <w:rFonts w:asciiTheme="minorEastAsia" w:hAnsiTheme="minorEastAsia"/>
          <w:color w:val="auto"/>
          <w:sz w:val="24"/>
          <w:szCs w:val="24"/>
          <w:highlight w:val="none"/>
        </w:rPr>
        <w:sectPr>
          <w:pgSz w:w="11906" w:h="16838"/>
          <w:pgMar w:top="1440" w:right="1800" w:bottom="1440" w:left="1800" w:header="851" w:footer="992" w:gutter="0"/>
          <w:cols w:space="425" w:num="1"/>
          <w:docGrid w:type="lines" w:linePitch="312" w:charSpace="0"/>
        </w:sectPr>
      </w:pPr>
    </w:p>
    <w:p w14:paraId="6803E7A8">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供应商须知</w:t>
      </w:r>
    </w:p>
    <w:p w14:paraId="2EE1D9CE">
      <w:pPr>
        <w:spacing w:line="360" w:lineRule="auto"/>
        <w:jc w:val="left"/>
        <w:rPr>
          <w:rFonts w:asciiTheme="minorEastAsia" w:hAnsiTheme="minorEastAsia"/>
          <w:b/>
          <w:color w:val="auto"/>
          <w:sz w:val="28"/>
          <w:szCs w:val="28"/>
          <w:highlight w:val="none"/>
        </w:rPr>
      </w:pPr>
      <w:bookmarkStart w:id="16" w:name="_Toc226965708"/>
      <w:bookmarkStart w:id="17" w:name="_Toc226337214"/>
      <w:bookmarkStart w:id="18" w:name="_Toc265228356"/>
      <w:bookmarkStart w:id="19" w:name="_Toc226309762"/>
      <w:bookmarkStart w:id="20" w:name="_Toc151193760"/>
      <w:bookmarkStart w:id="21" w:name="_Toc305158860"/>
      <w:bookmarkStart w:id="22" w:name="_Toc151193832"/>
      <w:bookmarkStart w:id="23" w:name="_Toc150774723"/>
      <w:bookmarkStart w:id="24" w:name="_Toc151193616"/>
      <w:bookmarkStart w:id="25" w:name="_Toc142311020"/>
      <w:bookmarkStart w:id="26" w:name="_Toc305158786"/>
      <w:bookmarkStart w:id="27" w:name="_Toc195842883"/>
      <w:bookmarkStart w:id="28" w:name="_Toc150774618"/>
      <w:bookmarkStart w:id="29" w:name="_Toc264969208"/>
      <w:bookmarkStart w:id="30" w:name="_Toc150509269"/>
      <w:bookmarkStart w:id="31" w:name="_Toc151193688"/>
      <w:bookmarkStart w:id="32" w:name="_Toc151190145"/>
      <w:bookmarkStart w:id="33" w:name="_Toc151193906"/>
      <w:bookmarkStart w:id="34" w:name="_Toc150480756"/>
      <w:bookmarkStart w:id="35" w:name="_Toc226965791"/>
      <w:r>
        <w:rPr>
          <w:rFonts w:hint="eastAsia" w:asciiTheme="minorEastAsia" w:hAnsiTheme="minorEastAsia"/>
          <w:b/>
          <w:color w:val="auto"/>
          <w:sz w:val="28"/>
          <w:szCs w:val="28"/>
          <w:highlight w:val="none"/>
        </w:rPr>
        <w:t>一、</w:t>
      </w:r>
      <w:r>
        <w:rPr>
          <w:rFonts w:asciiTheme="minorEastAsia" w:hAnsiTheme="minorEastAsia"/>
          <w:b/>
          <w:color w:val="auto"/>
          <w:sz w:val="28"/>
          <w:szCs w:val="28"/>
          <w:highlight w:val="none"/>
        </w:rPr>
        <w:t>说  明</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2F5ABE9E">
      <w:pPr>
        <w:pStyle w:val="34"/>
        <w:numPr>
          <w:ilvl w:val="0"/>
          <w:numId w:val="1"/>
        </w:numPr>
        <w:spacing w:line="360" w:lineRule="auto"/>
        <w:ind w:firstLineChars="0"/>
        <w:jc w:val="left"/>
        <w:rPr>
          <w:rFonts w:asciiTheme="minorEastAsia" w:hAnsiTheme="minorEastAsia"/>
          <w:color w:val="auto"/>
          <w:sz w:val="24"/>
          <w:szCs w:val="24"/>
          <w:highlight w:val="none"/>
        </w:rPr>
      </w:pPr>
      <w:bookmarkStart w:id="36" w:name="_Toc265228357"/>
      <w:bookmarkStart w:id="37" w:name="_Toc305158787"/>
      <w:bookmarkStart w:id="38" w:name="_Toc264969209"/>
      <w:bookmarkStart w:id="39" w:name="_Toc305158861"/>
      <w:bookmarkStart w:id="40" w:name="_Toc151193764"/>
      <w:bookmarkStart w:id="41" w:name="_Toc150774727"/>
      <w:bookmarkStart w:id="42" w:name="_Toc264969212"/>
      <w:bookmarkStart w:id="43" w:name="_Toc150509273"/>
      <w:bookmarkStart w:id="44" w:name="_Toc151190149"/>
      <w:bookmarkStart w:id="45" w:name="_Toc226309766"/>
      <w:bookmarkStart w:id="46" w:name="_Toc226965712"/>
      <w:bookmarkStart w:id="47" w:name="_Toc151193692"/>
      <w:bookmarkStart w:id="48" w:name="_Toc151193910"/>
      <w:bookmarkStart w:id="49" w:name="_Toc151193620"/>
      <w:bookmarkStart w:id="50" w:name="_Toc127151522"/>
      <w:bookmarkStart w:id="51" w:name="_Toc195842887"/>
      <w:bookmarkStart w:id="52" w:name="_Toc142311024"/>
      <w:bookmarkStart w:id="53" w:name="_Toc305158864"/>
      <w:bookmarkStart w:id="54" w:name="_Toc226337218"/>
      <w:bookmarkStart w:id="55" w:name="_Toc265228360"/>
      <w:bookmarkStart w:id="56" w:name="_Toc226965795"/>
      <w:bookmarkStart w:id="57" w:name="_Toc151193836"/>
      <w:bookmarkStart w:id="58" w:name="_Toc150774622"/>
      <w:bookmarkStart w:id="59" w:name="_Toc520356146"/>
      <w:bookmarkStart w:id="60" w:name="_Toc305158790"/>
      <w:bookmarkStart w:id="61" w:name="_Toc150480760"/>
      <w:r>
        <w:rPr>
          <w:rFonts w:ascii="宋体" w:hAnsi="宋体" w:eastAsia="宋体" w:cs="Times New Roman"/>
          <w:color w:val="auto"/>
          <w:sz w:val="24"/>
          <w:highlight w:val="none"/>
        </w:rPr>
        <w:t>采购人、采购代理机构、供应商</w:t>
      </w:r>
      <w:bookmarkEnd w:id="36"/>
      <w:bookmarkEnd w:id="37"/>
      <w:bookmarkEnd w:id="38"/>
      <w:bookmarkEnd w:id="39"/>
      <w:r>
        <w:rPr>
          <w:rFonts w:ascii="宋体" w:hAnsi="宋体" w:eastAsia="宋体" w:cs="Times New Roman"/>
          <w:color w:val="auto"/>
          <w:sz w:val="24"/>
          <w:highlight w:val="none"/>
        </w:rPr>
        <w:t>、联合体</w:t>
      </w:r>
    </w:p>
    <w:p w14:paraId="7D778643">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采购人、采购代理机构：指依法进行政府采购的国家机关、事业单位、团体组织，及其委托的采购代理机构。本项目采购人、采购代理机构见第一章《采购邀请》。</w:t>
      </w:r>
    </w:p>
    <w:p w14:paraId="37E568D1">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供应商（也称</w:t>
      </w:r>
      <w:r>
        <w:rPr>
          <w:rFonts w:hint="eastAsia" w:asciiTheme="minorEastAsia" w:hAnsiTheme="minorEastAsia"/>
          <w:color w:val="auto"/>
          <w:sz w:val="24"/>
          <w:highlight w:val="none"/>
        </w:rPr>
        <w:t>“</w:t>
      </w:r>
      <w:r>
        <w:rPr>
          <w:rFonts w:ascii="宋体" w:hAnsi="宋体" w:eastAsia="宋体" w:cs="Times New Roman"/>
          <w:color w:val="auto"/>
          <w:sz w:val="24"/>
          <w:highlight w:val="none"/>
        </w:rPr>
        <w:t>申请人</w:t>
      </w:r>
      <w:r>
        <w:rPr>
          <w:rFonts w:hint="eastAsia" w:asciiTheme="minorEastAsia" w:hAnsiTheme="minorEastAsia"/>
          <w:color w:val="auto"/>
          <w:sz w:val="24"/>
          <w:highlight w:val="none"/>
        </w:rPr>
        <w:t>”</w:t>
      </w:r>
      <w:r>
        <w:rPr>
          <w:rFonts w:ascii="宋体" w:hAnsi="宋体" w:eastAsia="宋体" w:cs="Times New Roman"/>
          <w:color w:val="auto"/>
          <w:sz w:val="24"/>
          <w:highlight w:val="none"/>
        </w:rPr>
        <w:t>）：指向采购人提供货物、工程或者服务的法人、其他组织或者自然人</w:t>
      </w:r>
      <w:r>
        <w:rPr>
          <w:rFonts w:hint="eastAsia" w:asciiTheme="minorEastAsia" w:hAnsiTheme="minorEastAsia"/>
          <w:color w:val="auto"/>
          <w:sz w:val="24"/>
          <w:szCs w:val="24"/>
          <w:highlight w:val="none"/>
        </w:rPr>
        <w:t>。</w:t>
      </w:r>
    </w:p>
    <w:p w14:paraId="6CB4588D">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联合体：指两个以上的自然人、法人或者其他组织组成一个联合体，以一个供应商的身份共同参加政府采购</w:t>
      </w:r>
      <w:r>
        <w:rPr>
          <w:rFonts w:hint="eastAsia" w:asciiTheme="minorEastAsia" w:hAnsiTheme="minorEastAsia"/>
          <w:color w:val="auto"/>
          <w:sz w:val="24"/>
          <w:szCs w:val="24"/>
          <w:highlight w:val="none"/>
        </w:rPr>
        <w:t>。</w:t>
      </w:r>
    </w:p>
    <w:p w14:paraId="61CE056A">
      <w:pPr>
        <w:pStyle w:val="34"/>
        <w:numPr>
          <w:ilvl w:val="0"/>
          <w:numId w:val="2"/>
        </w:numPr>
        <w:spacing w:line="360" w:lineRule="auto"/>
        <w:ind w:firstLineChars="0"/>
        <w:jc w:val="left"/>
        <w:rPr>
          <w:rFonts w:asciiTheme="minorEastAsia" w:hAnsiTheme="minorEastAsia"/>
          <w:color w:val="auto"/>
          <w:sz w:val="24"/>
          <w:szCs w:val="24"/>
          <w:highlight w:val="none"/>
        </w:rPr>
      </w:pPr>
      <w:bookmarkStart w:id="62" w:name="_Toc151190147"/>
      <w:bookmarkStart w:id="63" w:name="_Toc127151721"/>
      <w:bookmarkStart w:id="64" w:name="_Toc151193762"/>
      <w:bookmarkStart w:id="65" w:name="_Toc150774620"/>
      <w:bookmarkStart w:id="66" w:name="_Toc265228358"/>
      <w:bookmarkStart w:id="67" w:name="_Toc195842885"/>
      <w:bookmarkStart w:id="68" w:name="_Toc226965793"/>
      <w:bookmarkStart w:id="69" w:name="_Toc127161434"/>
      <w:bookmarkStart w:id="70" w:name="_Toc150480758"/>
      <w:bookmarkStart w:id="71" w:name="_Toc151193908"/>
      <w:bookmarkStart w:id="72" w:name="_Toc305158788"/>
      <w:bookmarkStart w:id="73" w:name="_Toc226337216"/>
      <w:bookmarkStart w:id="74" w:name="_Toc150509271"/>
      <w:bookmarkStart w:id="75" w:name="_Toc305158862"/>
      <w:bookmarkStart w:id="76" w:name="_Toc151193618"/>
      <w:bookmarkStart w:id="77" w:name="_Toc127151520"/>
      <w:bookmarkStart w:id="78" w:name="_Toc164351614"/>
      <w:bookmarkStart w:id="79" w:name="_Toc151193834"/>
      <w:bookmarkStart w:id="80" w:name="_Toc264969210"/>
      <w:bookmarkStart w:id="81" w:name="_Toc150774725"/>
      <w:bookmarkStart w:id="82" w:name="_Toc164229361"/>
      <w:bookmarkStart w:id="83" w:name="_Toc164608634"/>
      <w:bookmarkStart w:id="84" w:name="_Toc164608789"/>
      <w:bookmarkStart w:id="85" w:name="_Toc164229215"/>
      <w:bookmarkStart w:id="86" w:name="_Toc226965710"/>
      <w:bookmarkStart w:id="87" w:name="_Toc226309764"/>
      <w:bookmarkStart w:id="88" w:name="_Toc142311022"/>
      <w:bookmarkStart w:id="89" w:name="_Toc149720813"/>
      <w:bookmarkStart w:id="90" w:name="_Toc151193690"/>
      <w:r>
        <w:rPr>
          <w:rFonts w:ascii="宋体" w:hAnsi="宋体" w:eastAsia="宋体" w:cs="Times New Roman"/>
          <w:color w:val="auto"/>
          <w:sz w:val="24"/>
          <w:highlight w:val="none"/>
        </w:rPr>
        <w:t>资金来源</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r>
        <w:rPr>
          <w:rFonts w:ascii="宋体" w:hAnsi="宋体" w:eastAsia="宋体" w:cs="Times New Roman"/>
          <w:color w:val="auto"/>
          <w:sz w:val="24"/>
          <w:highlight w:val="none"/>
        </w:rPr>
        <w:t>、项目属性、科研仪器设备采购</w:t>
      </w:r>
    </w:p>
    <w:p w14:paraId="3E92E31D">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资金来源为财政性资金和/或本项目采购中无法与财政性资金分割的非财政性资金</w:t>
      </w:r>
      <w:r>
        <w:rPr>
          <w:rFonts w:asciiTheme="minorEastAsia" w:hAnsiTheme="minorEastAsia"/>
          <w:color w:val="auto"/>
          <w:sz w:val="24"/>
          <w:szCs w:val="24"/>
          <w:highlight w:val="none"/>
        </w:rPr>
        <w:t>。</w:t>
      </w:r>
    </w:p>
    <w:p w14:paraId="4C378872">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项目属性见《供应商须知资料表》</w:t>
      </w:r>
      <w:r>
        <w:rPr>
          <w:rFonts w:asciiTheme="minorEastAsia" w:hAnsiTheme="minorEastAsia"/>
          <w:color w:val="auto"/>
          <w:sz w:val="24"/>
          <w:szCs w:val="24"/>
          <w:highlight w:val="none"/>
        </w:rPr>
        <w:t>。</w:t>
      </w:r>
    </w:p>
    <w:p w14:paraId="6548E058">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是否属于科研仪器设备采购见《供应商须知资料表》</w:t>
      </w:r>
      <w:r>
        <w:rPr>
          <w:rFonts w:asciiTheme="minorEastAsia" w:hAnsiTheme="minorEastAsia"/>
          <w:color w:val="auto"/>
          <w:sz w:val="24"/>
          <w:szCs w:val="24"/>
          <w:highlight w:val="none"/>
        </w:rPr>
        <w:t>。</w:t>
      </w:r>
    </w:p>
    <w:p w14:paraId="3AB24D45">
      <w:pPr>
        <w:pStyle w:val="34"/>
        <w:numPr>
          <w:ilvl w:val="0"/>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现场考察、磋商前答疑会</w:t>
      </w:r>
    </w:p>
    <w:p w14:paraId="60F00926">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若《供应商须知资料表》中规定了组织现场考察、召开磋商前答疑会，则供应商应按要求在规定的时间和地点参加</w:t>
      </w:r>
      <w:r>
        <w:rPr>
          <w:rFonts w:asciiTheme="minorEastAsia" w:hAnsiTheme="minorEastAsia"/>
          <w:color w:val="auto"/>
          <w:sz w:val="24"/>
          <w:szCs w:val="24"/>
          <w:highlight w:val="none"/>
        </w:rPr>
        <w:t>。</w:t>
      </w:r>
    </w:p>
    <w:p w14:paraId="5BB54310">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由于未参加现场考察或磋商前答疑会而导致对项目实际情况不了解，影响响应文件编制、报价准确性、综合因素响应不全面等问题的，由供应商自行承担不利评审后果</w:t>
      </w:r>
      <w:r>
        <w:rPr>
          <w:rFonts w:asciiTheme="minorEastAsia" w:hAnsiTheme="minorEastAsia"/>
          <w:color w:val="auto"/>
          <w:sz w:val="24"/>
          <w:szCs w:val="24"/>
          <w:highlight w:val="none"/>
        </w:rPr>
        <w:t>。</w:t>
      </w:r>
    </w:p>
    <w:p w14:paraId="14FAD2A8">
      <w:pPr>
        <w:pStyle w:val="34"/>
        <w:numPr>
          <w:ilvl w:val="0"/>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政府采购政策（包括但不限于下列具体政策要求）</w:t>
      </w:r>
    </w:p>
    <w:p w14:paraId="106ABBB8">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进口产品</w:t>
      </w:r>
    </w:p>
    <w:p w14:paraId="7DE00D71">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Theme="minorEastAsia" w:hAnsiTheme="minorEastAsia"/>
          <w:color w:val="auto"/>
          <w:sz w:val="24"/>
          <w:highlight w:val="none"/>
        </w:rPr>
        <w:t>。</w:t>
      </w:r>
    </w:p>
    <w:p w14:paraId="258FF87A">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中小企业、监狱企业及残疾人福利性单位</w:t>
      </w:r>
    </w:p>
    <w:p w14:paraId="6E8E7441">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中小企业定义</w:t>
      </w:r>
    </w:p>
    <w:p w14:paraId="21FAB4F4">
      <w:pPr>
        <w:pStyle w:val="34"/>
        <w:numPr>
          <w:ilvl w:val="3"/>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2696E90">
      <w:pPr>
        <w:pStyle w:val="34"/>
        <w:numPr>
          <w:ilvl w:val="3"/>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供应商提供的货物、工程或者服务符合下列情形的，享受中小企业扶持政策：</w:t>
      </w:r>
      <w:r>
        <w:rPr>
          <w:rFonts w:asciiTheme="minorEastAsia" w:hAnsiTheme="minorEastAsia"/>
          <w:color w:val="auto"/>
          <w:sz w:val="24"/>
          <w:highlight w:val="none"/>
        </w:rPr>
        <w:t>（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3711FFA5">
      <w:pPr>
        <w:pStyle w:val="34"/>
        <w:numPr>
          <w:ilvl w:val="3"/>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在货物采购项目中，供应商提供的货物既有中小企业制造货物，也有大型企业制造货物的，不享受中小企业扶持政策</w:t>
      </w:r>
    </w:p>
    <w:p w14:paraId="1E838479">
      <w:pPr>
        <w:pStyle w:val="34"/>
        <w:numPr>
          <w:ilvl w:val="3"/>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以联合体形式参加政府采购活动，联合体各方均为中小企业的，联合体视同中小企业。其中，联合体各方均为小微企业的，联合体视同小微企业</w:t>
      </w:r>
      <w:r>
        <w:rPr>
          <w:rFonts w:hint="eastAsia" w:asciiTheme="minorEastAsia" w:hAnsiTheme="minorEastAsia"/>
          <w:color w:val="auto"/>
          <w:sz w:val="24"/>
          <w:highlight w:val="none"/>
        </w:rPr>
        <w:t>。</w:t>
      </w:r>
    </w:p>
    <w:p w14:paraId="152D9268">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heme="minorEastAsia" w:hAnsiTheme="minorEastAsia"/>
          <w:color w:val="auto"/>
          <w:sz w:val="24"/>
          <w:highlight w:val="none"/>
        </w:rPr>
        <w:t>。</w:t>
      </w:r>
    </w:p>
    <w:p w14:paraId="4F7D4A92">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残疾人福利单位定义：享受政府采购支持政策的残疾人福利性单位应当同时满足以下条件</w:t>
      </w:r>
      <w:r>
        <w:rPr>
          <w:rFonts w:asciiTheme="minorEastAsia" w:hAnsiTheme="minorEastAsia"/>
          <w:color w:val="auto"/>
          <w:sz w:val="24"/>
          <w:highlight w:val="none"/>
        </w:rPr>
        <w:t>：</w:t>
      </w:r>
    </w:p>
    <w:p w14:paraId="03035C1B">
      <w:pPr>
        <w:pStyle w:val="34"/>
        <w:numPr>
          <w:ilvl w:val="3"/>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安置的残疾人占本单位在职职工人数的比例不低于25%（含25%），并且安置的残疾人人数不少于10 人（含10 人）</w:t>
      </w:r>
      <w:r>
        <w:rPr>
          <w:rFonts w:hint="eastAsia" w:asciiTheme="minorEastAsia" w:hAnsiTheme="minorEastAsia"/>
          <w:color w:val="auto"/>
          <w:sz w:val="24"/>
          <w:highlight w:val="none"/>
        </w:rPr>
        <w:t>；</w:t>
      </w:r>
    </w:p>
    <w:p w14:paraId="05F5445F">
      <w:pPr>
        <w:pStyle w:val="34"/>
        <w:numPr>
          <w:ilvl w:val="3"/>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依法与安置的每位残疾人签订了一年以上（含一年）的劳动合同或服务协议</w:t>
      </w:r>
      <w:r>
        <w:rPr>
          <w:rFonts w:hint="eastAsia" w:asciiTheme="minorEastAsia" w:hAnsiTheme="minorEastAsia"/>
          <w:color w:val="auto"/>
          <w:sz w:val="24"/>
          <w:highlight w:val="none"/>
        </w:rPr>
        <w:t>；</w:t>
      </w:r>
    </w:p>
    <w:p w14:paraId="188E4BD8">
      <w:pPr>
        <w:pStyle w:val="34"/>
        <w:numPr>
          <w:ilvl w:val="3"/>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为安置的每位残疾人按月足额缴纳了基本养老保险、基本医疗保险、失业保险、工伤保险和生育保险等社会保险费</w:t>
      </w:r>
      <w:r>
        <w:rPr>
          <w:rFonts w:hint="eastAsia" w:asciiTheme="minorEastAsia" w:hAnsiTheme="minorEastAsia"/>
          <w:color w:val="auto"/>
          <w:sz w:val="24"/>
          <w:highlight w:val="none"/>
        </w:rPr>
        <w:t>；</w:t>
      </w:r>
    </w:p>
    <w:p w14:paraId="35A43A48">
      <w:pPr>
        <w:pStyle w:val="34"/>
        <w:numPr>
          <w:ilvl w:val="3"/>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通过银行等金融机构向安置的每位残疾人，按月支付了不低于单位所在区县适用的经省级人民政府批准的月最低工资标准的工资</w:t>
      </w:r>
      <w:r>
        <w:rPr>
          <w:rFonts w:hint="eastAsia" w:asciiTheme="minorEastAsia" w:hAnsiTheme="minorEastAsia"/>
          <w:color w:val="auto"/>
          <w:sz w:val="24"/>
          <w:highlight w:val="none"/>
        </w:rPr>
        <w:t>；</w:t>
      </w:r>
    </w:p>
    <w:p w14:paraId="01415BAC">
      <w:pPr>
        <w:pStyle w:val="34"/>
        <w:numPr>
          <w:ilvl w:val="3"/>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提供本单位制造的货物、承担的工程或者服务（以下简称产品），或者提供其他残疾人福利性单位制造的货物（不包括使用非残疾人福利性单位注册商标的货物）</w:t>
      </w:r>
      <w:r>
        <w:rPr>
          <w:rFonts w:hint="eastAsia" w:asciiTheme="minorEastAsia" w:hAnsiTheme="minorEastAsia"/>
          <w:color w:val="auto"/>
          <w:sz w:val="24"/>
          <w:highlight w:val="none"/>
        </w:rPr>
        <w:t>；</w:t>
      </w:r>
    </w:p>
    <w:p w14:paraId="583BBCF8">
      <w:pPr>
        <w:pStyle w:val="34"/>
        <w:numPr>
          <w:ilvl w:val="3"/>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heme="minorEastAsia" w:hAnsiTheme="minorEastAsia"/>
          <w:color w:val="auto"/>
          <w:sz w:val="24"/>
          <w:highlight w:val="none"/>
        </w:rPr>
        <w:t>。</w:t>
      </w:r>
    </w:p>
    <w:p w14:paraId="5A1865AB">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本项目是否专门面向中小企业预留采购份额见第一章《采购邀请》</w:t>
      </w:r>
      <w:r>
        <w:rPr>
          <w:rFonts w:hint="eastAsia" w:asciiTheme="minorEastAsia" w:hAnsiTheme="minorEastAsia"/>
          <w:color w:val="auto"/>
          <w:sz w:val="24"/>
          <w:highlight w:val="none"/>
        </w:rPr>
        <w:t>。</w:t>
      </w:r>
    </w:p>
    <w:p w14:paraId="6069ED00">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采购标的对应的中小企业划分标准所属行业见《供应商须知资料表</w:t>
      </w:r>
      <w:r>
        <w:rPr>
          <w:rFonts w:asciiTheme="minorEastAsia" w:hAnsiTheme="minorEastAsia"/>
          <w:color w:val="auto"/>
          <w:sz w:val="24"/>
          <w:highlight w:val="none"/>
        </w:rPr>
        <w:t>》</w:t>
      </w:r>
      <w:r>
        <w:rPr>
          <w:rFonts w:hint="eastAsia" w:asciiTheme="minorEastAsia" w:hAnsiTheme="minorEastAsia"/>
          <w:color w:val="auto"/>
          <w:sz w:val="24"/>
          <w:highlight w:val="none"/>
        </w:rPr>
        <w:t>。</w:t>
      </w:r>
    </w:p>
    <w:p w14:paraId="0BAB768D">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小微企业价格评审优惠的政策调整：见第三章《评审方法和评审标准》</w:t>
      </w:r>
      <w:r>
        <w:rPr>
          <w:rFonts w:hint="eastAsia" w:asciiTheme="minorEastAsia" w:hAnsiTheme="minorEastAsia"/>
          <w:color w:val="auto"/>
          <w:sz w:val="24"/>
          <w:highlight w:val="none"/>
        </w:rPr>
        <w:t>。</w:t>
      </w:r>
    </w:p>
    <w:p w14:paraId="4E82693F">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Theme="minorEastAsia" w:hAnsiTheme="minorEastAsia"/>
          <w:color w:val="auto"/>
          <w:sz w:val="24"/>
          <w:highlight w:val="none"/>
        </w:rPr>
        <w:t>政府采购节能产品、环境标志产品</w:t>
      </w:r>
    </w:p>
    <w:p w14:paraId="761704CD">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Theme="minorEastAsia" w:hAnsiTheme="minorEastAsia"/>
          <w:color w:val="auto"/>
          <w:sz w:val="24"/>
          <w:highlight w:val="none"/>
        </w:rPr>
        <w:t>。</w:t>
      </w:r>
    </w:p>
    <w:p w14:paraId="61179DCD">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Theme="minorEastAsia" w:hAnsiTheme="minorEastAsia"/>
          <w:color w:val="auto"/>
          <w:sz w:val="24"/>
          <w:highlight w:val="none"/>
        </w:rPr>
        <w:t>。</w:t>
      </w:r>
    </w:p>
    <w:p w14:paraId="7AA1D305">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ascii="宋体" w:hAnsi="宋体" w:eastAsia="宋体" w:cs="Times New Roman"/>
          <w:color w:val="auto"/>
          <w:kern w:val="0"/>
          <w:sz w:val="24"/>
          <w:highlight w:val="none"/>
        </w:rPr>
        <w:t>否则</w:t>
      </w:r>
      <w:r>
        <w:rPr>
          <w:rFonts w:ascii="宋体" w:hAnsi="宋体" w:eastAsia="宋体" w:cs="Times New Roman"/>
          <w:b/>
          <w:color w:val="auto"/>
          <w:kern w:val="0"/>
          <w:sz w:val="24"/>
          <w:highlight w:val="none"/>
        </w:rPr>
        <w:t>响应无效</w:t>
      </w:r>
      <w:r>
        <w:rPr>
          <w:rFonts w:hint="eastAsia" w:asciiTheme="minorEastAsia" w:hAnsiTheme="minorEastAsia"/>
          <w:color w:val="auto"/>
          <w:sz w:val="24"/>
          <w:highlight w:val="none"/>
        </w:rPr>
        <w:t>。</w:t>
      </w:r>
    </w:p>
    <w:p w14:paraId="1016BF3F">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宋体" w:hAnsi="宋体" w:eastAsia="宋体" w:cs="Times New Roman"/>
          <w:color w:val="auto"/>
          <w:sz w:val="24"/>
          <w:highlight w:val="none"/>
        </w:rPr>
        <w:t>非政府强制采购的节能产品或环境标志产品，依据品目清单和认证证书实施政府优先采购。优先采购的具体规定见第三章《评审方法和评审标准》（如涉及）</w:t>
      </w:r>
      <w:r>
        <w:rPr>
          <w:rFonts w:hint="eastAsia" w:asciiTheme="minorEastAsia" w:hAnsiTheme="minorEastAsia"/>
          <w:color w:val="auto"/>
          <w:sz w:val="24"/>
          <w:highlight w:val="none"/>
        </w:rPr>
        <w:t>。</w:t>
      </w:r>
    </w:p>
    <w:p w14:paraId="1FB65188">
      <w:pPr>
        <w:pStyle w:val="34"/>
        <w:numPr>
          <w:ilvl w:val="2"/>
          <w:numId w:val="2"/>
        </w:numPr>
        <w:spacing w:line="360" w:lineRule="auto"/>
        <w:ind w:firstLineChars="0"/>
        <w:jc w:val="left"/>
        <w:rPr>
          <w:rFonts w:asciiTheme="minorEastAsia" w:hAnsiTheme="minorEastAsia"/>
          <w:color w:val="auto"/>
          <w:sz w:val="24"/>
          <w:szCs w:val="24"/>
          <w:highlight w:val="none"/>
        </w:rPr>
      </w:pPr>
      <w:r>
        <w:rPr>
          <w:rFonts w:hint="eastAsia" w:ascii="宋体" w:hAnsi="宋体" w:eastAsia="宋体" w:cs="Times New Roman"/>
          <w:color w:val="auto"/>
          <w:sz w:val="24"/>
          <w:highlight w:val="none"/>
        </w:rPr>
        <w:t>依据</w:t>
      </w:r>
      <w:r>
        <w:rPr>
          <w:rFonts w:ascii="宋体" w:hAnsi="宋体" w:eastAsia="宋体" w:cs="Times New Roman"/>
          <w:color w:val="auto"/>
          <w:sz w:val="24"/>
          <w:highlight w:val="none"/>
        </w:rPr>
        <w:t>《关于印发〈商品包装政府采购需求标准（试行）〉、〈快递包装政府采购需求标准（试行）〉的通知》（财办库〔2020〕123号）</w:t>
      </w:r>
      <w:r>
        <w:rPr>
          <w:rFonts w:hint="eastAsia" w:ascii="宋体" w:hAnsi="宋体" w:eastAsia="宋体" w:cs="Times New Roman"/>
          <w:color w:val="auto"/>
          <w:sz w:val="24"/>
          <w:highlight w:val="none"/>
        </w:rPr>
        <w:t>文件</w:t>
      </w:r>
      <w:r>
        <w:rPr>
          <w:rFonts w:ascii="宋体" w:hAnsi="宋体" w:eastAsia="宋体" w:cs="Times New Roman"/>
          <w:color w:val="auto"/>
          <w:sz w:val="24"/>
          <w:highlight w:val="none"/>
        </w:rPr>
        <w:t>精神</w:t>
      </w:r>
      <w:r>
        <w:rPr>
          <w:rFonts w:hint="eastAsia" w:ascii="宋体" w:hAnsi="宋体" w:eastAsia="宋体" w:cs="Times New Roman"/>
          <w:color w:val="auto"/>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Theme="minorEastAsia" w:hAnsiTheme="minorEastAsia"/>
          <w:color w:val="auto"/>
          <w:sz w:val="24"/>
          <w:highlight w:val="none"/>
        </w:rPr>
        <w:t>。</w:t>
      </w:r>
    </w:p>
    <w:p w14:paraId="56F7E84D">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Theme="minorEastAsia" w:hAnsiTheme="minorEastAsia"/>
          <w:color w:val="auto"/>
          <w:sz w:val="24"/>
          <w:highlight w:val="none"/>
        </w:rPr>
        <w:t>支持乡村产业振兴管理</w:t>
      </w:r>
    </w:p>
    <w:p w14:paraId="5B756A1D">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Theme="minorEastAsia" w:hAnsiTheme="minorEastAsia"/>
          <w:color w:val="auto"/>
          <w:sz w:val="24"/>
          <w:highlight w:val="none"/>
        </w:rPr>
        <w:t>为落实《关于运用政府采购政策支持乡村产业振兴的通知》（财库〔2021〕19号）有关要求，做好支持脱贫攻坚工作，本项目采购活动中对于支持乡村振兴管理的相关要求见第四章《采购需求》（如涉及）</w:t>
      </w:r>
      <w:r>
        <w:rPr>
          <w:rFonts w:hint="eastAsia" w:asciiTheme="minorEastAsia" w:hAnsiTheme="minorEastAsia"/>
          <w:color w:val="auto"/>
          <w:sz w:val="24"/>
          <w:highlight w:val="none"/>
        </w:rPr>
        <w:t>。</w:t>
      </w:r>
    </w:p>
    <w:p w14:paraId="7987D82A">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Theme="minorEastAsia" w:hAnsiTheme="minorEastAsia"/>
          <w:color w:val="auto"/>
          <w:sz w:val="24"/>
          <w:highlight w:val="none"/>
        </w:rPr>
        <w:t>正版软件</w:t>
      </w:r>
    </w:p>
    <w:p w14:paraId="1DD22F4B">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Theme="minorEastAsia" w:hAnsiTheme="minorEastAsia"/>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Theme="minorEastAsia" w:hAnsiTheme="minorEastAsia"/>
          <w:color w:val="auto"/>
          <w:kern w:val="0"/>
          <w:sz w:val="24"/>
          <w:highlight w:val="none"/>
        </w:rPr>
        <w:t>否则</w:t>
      </w:r>
      <w:r>
        <w:rPr>
          <w:rFonts w:asciiTheme="minorEastAsia" w:hAnsiTheme="minorEastAsia"/>
          <w:b/>
          <w:color w:val="auto"/>
          <w:kern w:val="0"/>
          <w:sz w:val="24"/>
          <w:highlight w:val="none"/>
        </w:rPr>
        <w:t>响应无效</w:t>
      </w:r>
      <w:r>
        <w:rPr>
          <w:rFonts w:asciiTheme="minorEastAsia" w:hAnsiTheme="minorEastAsia"/>
          <w:color w:val="auto"/>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Theme="minorEastAsia" w:hAnsiTheme="minorEastAsia"/>
          <w:color w:val="auto"/>
          <w:sz w:val="24"/>
          <w:highlight w:val="none"/>
        </w:rPr>
        <w:t>。</w:t>
      </w:r>
    </w:p>
    <w:p w14:paraId="61E23949">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Theme="minorEastAsia" w:hAnsiTheme="minorEastAsia"/>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Theme="minorEastAsia" w:hAnsiTheme="minorEastAsia"/>
          <w:color w:val="auto"/>
          <w:sz w:val="24"/>
          <w:highlight w:val="none"/>
        </w:rPr>
        <w:t>。</w:t>
      </w:r>
    </w:p>
    <w:p w14:paraId="6F613EBD">
      <w:pPr>
        <w:pStyle w:val="34"/>
        <w:numPr>
          <w:ilvl w:val="1"/>
          <w:numId w:val="2"/>
        </w:numPr>
        <w:spacing w:line="360" w:lineRule="auto"/>
        <w:ind w:firstLineChars="0"/>
        <w:jc w:val="left"/>
        <w:rPr>
          <w:rFonts w:asciiTheme="minorEastAsia" w:hAnsiTheme="minorEastAsia"/>
          <w:color w:val="auto"/>
          <w:sz w:val="24"/>
          <w:szCs w:val="24"/>
          <w:highlight w:val="none"/>
        </w:rPr>
      </w:pPr>
      <w:r>
        <w:rPr>
          <w:rFonts w:hint="eastAsia" w:asciiTheme="minorEastAsia" w:hAnsiTheme="minorEastAsia"/>
          <w:color w:val="auto"/>
          <w:sz w:val="24"/>
          <w:highlight w:val="none"/>
        </w:rPr>
        <w:t>政府采购创新产品政策</w:t>
      </w:r>
    </w:p>
    <w:p w14:paraId="2E4A03A6">
      <w:pPr>
        <w:pStyle w:val="34"/>
        <w:numPr>
          <w:ilvl w:val="2"/>
          <w:numId w:val="2"/>
        </w:numPr>
        <w:spacing w:line="360" w:lineRule="auto"/>
        <w:ind w:firstLineChars="0"/>
        <w:jc w:val="left"/>
        <w:rPr>
          <w:rFonts w:asciiTheme="minorEastAsia" w:hAnsiTheme="minorEastAsia"/>
          <w:color w:val="auto"/>
          <w:sz w:val="24"/>
          <w:szCs w:val="24"/>
          <w:highlight w:val="none"/>
        </w:rPr>
      </w:pPr>
      <w:r>
        <w:rPr>
          <w:rFonts w:hint="eastAsia" w:asciiTheme="minorEastAsia" w:hAnsiTheme="minorEastAsia"/>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F50E947">
      <w:pPr>
        <w:pStyle w:val="34"/>
        <w:numPr>
          <w:ilvl w:val="1"/>
          <w:numId w:val="2"/>
        </w:numPr>
        <w:spacing w:line="360" w:lineRule="auto"/>
        <w:ind w:firstLineChars="0"/>
        <w:jc w:val="left"/>
        <w:rPr>
          <w:rFonts w:asciiTheme="minorEastAsia" w:hAnsiTheme="minorEastAsia"/>
          <w:color w:val="auto"/>
          <w:sz w:val="24"/>
          <w:highlight w:val="none"/>
        </w:rPr>
      </w:pPr>
      <w:r>
        <w:rPr>
          <w:rFonts w:hint="eastAsia" w:asciiTheme="minorEastAsia" w:hAnsiTheme="minorEastAsia"/>
          <w:color w:val="auto"/>
          <w:sz w:val="24"/>
          <w:highlight w:val="none"/>
        </w:rPr>
        <w:t>绿色采购政策</w:t>
      </w:r>
    </w:p>
    <w:p w14:paraId="6D0B5F49">
      <w:pPr>
        <w:pStyle w:val="34"/>
        <w:numPr>
          <w:ilvl w:val="2"/>
          <w:numId w:val="2"/>
        </w:numPr>
        <w:spacing w:line="360" w:lineRule="auto"/>
        <w:ind w:firstLineChars="0"/>
        <w:jc w:val="left"/>
        <w:rPr>
          <w:color w:val="auto"/>
          <w:highlight w:val="none"/>
        </w:rPr>
      </w:pPr>
      <w:r>
        <w:rPr>
          <w:rFonts w:asciiTheme="minorEastAsia" w:hAnsiTheme="minorEastAsia"/>
          <w:b/>
          <w:bCs/>
          <w:color w:val="auto"/>
          <w:sz w:val="24"/>
          <w:highlight w:val="none"/>
        </w:rPr>
        <w:t>绿色包装</w:t>
      </w:r>
      <w:r>
        <w:rPr>
          <w:rFonts w:hint="eastAsia" w:asciiTheme="minorEastAsia" w:hAnsiTheme="minorEastAsia"/>
          <w:b/>
          <w:bCs/>
          <w:color w:val="auto"/>
          <w:sz w:val="24"/>
          <w:highlight w:val="none"/>
        </w:rPr>
        <w:t>：</w:t>
      </w:r>
      <w:r>
        <w:rPr>
          <w:rFonts w:ascii="宋体" w:hAnsi="宋体" w:eastAsia="宋体" w:cs="宋体"/>
          <w:color w:val="auto"/>
          <w:sz w:val="24"/>
          <w:highlight w:val="none"/>
        </w:rPr>
        <w:t>依据</w:t>
      </w:r>
      <w:r>
        <w:rPr>
          <w:rFonts w:asciiTheme="minorEastAsia" w:hAnsiTheme="minorEastAsia"/>
          <w:color w:val="auto"/>
          <w:sz w:val="24"/>
          <w:highlight w:val="none"/>
        </w:rPr>
        <w:t>《关于印发〈商品包装政府采购需求标准（试行）〉、〈快递包装政府采购需求标准（试行）〉的通知》</w:t>
      </w:r>
      <w:r>
        <w:rPr>
          <w:rFonts w:ascii="宋体" w:hAnsi="宋体" w:eastAsia="宋体" w:cs="宋体"/>
          <w:color w:val="auto"/>
          <w:sz w:val="24"/>
          <w:highlight w:val="none"/>
        </w:rPr>
        <w:t>（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26FD353E">
      <w:pPr>
        <w:pStyle w:val="34"/>
        <w:numPr>
          <w:ilvl w:val="2"/>
          <w:numId w:val="2"/>
        </w:numPr>
        <w:spacing w:line="360" w:lineRule="auto"/>
        <w:ind w:firstLineChars="0"/>
        <w:jc w:val="left"/>
        <w:rPr>
          <w:rFonts w:asciiTheme="minorEastAsia" w:hAnsiTheme="minorEastAsia"/>
          <w:color w:val="auto"/>
          <w:sz w:val="24"/>
          <w:szCs w:val="24"/>
          <w:highlight w:val="none"/>
        </w:rPr>
      </w:pPr>
      <w:r>
        <w:rPr>
          <w:rFonts w:asciiTheme="minorEastAsia" w:hAnsiTheme="minorEastAsia"/>
          <w:color w:val="auto"/>
          <w:sz w:val="24"/>
          <w:highlight w:val="none"/>
        </w:rPr>
        <w:t>绿色数据中心政策</w:t>
      </w:r>
      <w:r>
        <w:rPr>
          <w:rFonts w:hint="eastAsia" w:asciiTheme="minorEastAsia" w:hAnsiTheme="minorEastAsia"/>
          <w:color w:val="auto"/>
          <w:sz w:val="24"/>
          <w:highlight w:val="none"/>
        </w:rPr>
        <w:t>：</w:t>
      </w:r>
      <w:r>
        <w:rPr>
          <w:rFonts w:ascii="宋体" w:hAnsi="宋体" w:eastAsia="宋体" w:cs="宋体"/>
          <w:color w:val="auto"/>
          <w:sz w:val="24"/>
          <w:highlight w:val="none"/>
        </w:rPr>
        <w:t>依据</w:t>
      </w:r>
      <w:r>
        <w:rPr>
          <w:rFonts w:asciiTheme="minorEastAsia" w:hAnsiTheme="minorEastAsia"/>
          <w:color w:val="auto"/>
          <w:sz w:val="24"/>
          <w:highlight w:val="none"/>
        </w:rPr>
        <w:t>《绿色数据中心政府采购需求标准（试行）》</w:t>
      </w:r>
      <w:r>
        <w:rPr>
          <w:rFonts w:ascii="宋体" w:hAnsi="宋体" w:eastAsia="宋体" w:cs="宋体"/>
          <w:color w:val="auto"/>
          <w:sz w:val="24"/>
          <w:highlight w:val="none"/>
        </w:rPr>
        <w:t>（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Theme="minorEastAsia" w:hAnsiTheme="minorEastAsia"/>
          <w:color w:val="auto"/>
          <w:sz w:val="24"/>
          <w:highlight w:val="none"/>
        </w:rPr>
        <w:t>数据</w:t>
      </w:r>
      <w:r>
        <w:rPr>
          <w:rFonts w:ascii="宋体" w:hAnsi="宋体" w:eastAsia="宋体" w:cs="宋体"/>
          <w:color w:val="auto"/>
          <w:sz w:val="24"/>
          <w:highlight w:val="none"/>
        </w:rPr>
        <w:t>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0268D5D">
      <w:pPr>
        <w:pStyle w:val="34"/>
        <w:numPr>
          <w:ilvl w:val="2"/>
          <w:numId w:val="2"/>
        </w:numPr>
        <w:spacing w:line="360" w:lineRule="auto"/>
        <w:ind w:firstLineChars="0"/>
        <w:jc w:val="left"/>
        <w:rPr>
          <w:rFonts w:ascii="宋体" w:hAnsi="宋体" w:eastAsia="宋体" w:cs="宋体"/>
          <w:color w:val="auto"/>
          <w:sz w:val="24"/>
          <w:highlight w:val="none"/>
        </w:rPr>
      </w:pPr>
      <w:r>
        <w:rPr>
          <w:rFonts w:hint="eastAsia" w:ascii="宋体" w:hAnsi="宋体"/>
          <w:color w:val="auto"/>
          <w:sz w:val="24"/>
          <w:highlight w:val="none"/>
        </w:rPr>
        <w:t>推广应用绿色建材：采购人实施政府采购工程项目，要按照《常州市政府采购支持绿色建材促进建筑品质提升试点工作方案》（</w:t>
      </w:r>
      <w:r>
        <w:rPr>
          <w:rFonts w:hint="eastAsia"/>
          <w:color w:val="auto"/>
          <w:sz w:val="24"/>
          <w:highlight w:val="none"/>
        </w:rPr>
        <w:t>常财购</w:t>
      </w:r>
      <w:r>
        <w:rPr>
          <w:color w:val="auto"/>
          <w:sz w:val="24"/>
          <w:highlight w:val="none"/>
        </w:rPr>
        <w:t>〔20</w:t>
      </w:r>
      <w:r>
        <w:rPr>
          <w:rFonts w:hint="eastAsia"/>
          <w:color w:val="auto"/>
          <w:sz w:val="24"/>
          <w:highlight w:val="none"/>
        </w:rPr>
        <w:t>23</w:t>
      </w:r>
      <w:r>
        <w:rPr>
          <w:color w:val="auto"/>
          <w:sz w:val="24"/>
          <w:highlight w:val="none"/>
        </w:rPr>
        <w:t>〕</w:t>
      </w:r>
      <w:r>
        <w:rPr>
          <w:rFonts w:hint="eastAsia"/>
          <w:color w:val="auto"/>
          <w:sz w:val="24"/>
          <w:highlight w:val="none"/>
        </w:rPr>
        <w:t>18</w:t>
      </w:r>
      <w:r>
        <w:rPr>
          <w:color w:val="auto"/>
          <w:sz w:val="24"/>
          <w:highlight w:val="none"/>
        </w:rPr>
        <w:t xml:space="preserve"> 号</w:t>
      </w:r>
      <w:r>
        <w:rPr>
          <w:rFonts w:hint="eastAsia" w:ascii="宋体" w:hAnsi="宋体"/>
          <w:color w:val="auto"/>
          <w:sz w:val="24"/>
          <w:highlight w:val="none"/>
        </w:rPr>
        <w:t>）总体要求，落实《绿色建筑和绿色建材政府采购需求标准》（</w:t>
      </w:r>
      <w:r>
        <w:rPr>
          <w:color w:val="auto"/>
          <w:sz w:val="24"/>
          <w:highlight w:val="none"/>
        </w:rPr>
        <w:t>财库〔20</w:t>
      </w:r>
      <w:r>
        <w:rPr>
          <w:rFonts w:hint="eastAsia" w:ascii="宋体" w:hAnsi="宋体" w:eastAsia="宋体" w:cs="宋体"/>
          <w:color w:val="auto"/>
          <w:sz w:val="24"/>
          <w:highlight w:val="none"/>
        </w:rPr>
        <w:t>22</w:t>
      </w:r>
      <w:r>
        <w:rPr>
          <w:rFonts w:ascii="宋体" w:hAnsi="宋体" w:eastAsia="宋体" w:cs="宋体"/>
          <w:color w:val="auto"/>
          <w:sz w:val="24"/>
          <w:highlight w:val="none"/>
        </w:rPr>
        <w:t>〕</w:t>
      </w:r>
      <w:r>
        <w:rPr>
          <w:rFonts w:hint="eastAsia" w:ascii="宋体" w:hAnsi="宋体" w:eastAsia="宋体" w:cs="宋体"/>
          <w:color w:val="auto"/>
          <w:sz w:val="24"/>
          <w:highlight w:val="none"/>
        </w:rPr>
        <w:t>35</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）和《政府采购支持绿色建材促进建筑品质提升政策项目实施指南》（财办库</w:t>
      </w:r>
      <w:r>
        <w:rPr>
          <w:rFonts w:ascii="宋体" w:hAnsi="宋体" w:eastAsia="宋体" w:cs="宋体"/>
          <w:color w:val="auto"/>
          <w:sz w:val="24"/>
          <w:highlight w:val="none"/>
        </w:rPr>
        <w:t>〔20</w:t>
      </w:r>
      <w:r>
        <w:rPr>
          <w:rFonts w:hint="eastAsia" w:ascii="宋体" w:hAnsi="宋体" w:eastAsia="宋体" w:cs="宋体"/>
          <w:color w:val="auto"/>
          <w:sz w:val="24"/>
          <w:highlight w:val="none"/>
        </w:rPr>
        <w:t>23</w:t>
      </w:r>
      <w:r>
        <w:rPr>
          <w:rFonts w:ascii="宋体" w:hAnsi="宋体" w:eastAsia="宋体" w:cs="宋体"/>
          <w:color w:val="auto"/>
          <w:sz w:val="24"/>
          <w:highlight w:val="none"/>
        </w:rPr>
        <w:t>〕</w:t>
      </w:r>
      <w:r>
        <w:rPr>
          <w:rFonts w:hint="eastAsia" w:ascii="宋体" w:hAnsi="宋体" w:eastAsia="宋体" w:cs="宋体"/>
          <w:color w:val="auto"/>
          <w:sz w:val="24"/>
          <w:highlight w:val="none"/>
        </w:rPr>
        <w:t>52</w:t>
      </w:r>
      <w:r>
        <w:rPr>
          <w:rFonts w:ascii="宋体" w:hAnsi="宋体" w:eastAsia="宋体" w:cs="宋体"/>
          <w:color w:val="auto"/>
          <w:sz w:val="24"/>
          <w:highlight w:val="none"/>
        </w:rPr>
        <w:t xml:space="preserve"> 号</w:t>
      </w:r>
      <w:r>
        <w:rPr>
          <w:rFonts w:hint="eastAsia" w:ascii="宋体" w:hAnsi="宋体" w:eastAsia="宋体" w:cs="宋体"/>
          <w:color w:val="auto"/>
          <w:sz w:val="24"/>
          <w:highlight w:val="none"/>
        </w:rPr>
        <w:t>）,依据相关需求标准确定采购需求，在采购文件和采购合同中载明具体需求、履约验收条款和违约责任。</w:t>
      </w:r>
    </w:p>
    <w:p w14:paraId="06E8EB77">
      <w:pPr>
        <w:pStyle w:val="34"/>
        <w:numPr>
          <w:ilvl w:val="2"/>
          <w:numId w:val="2"/>
        </w:numPr>
        <w:spacing w:line="360" w:lineRule="auto"/>
        <w:ind w:firstLineChars="0"/>
        <w:jc w:val="left"/>
        <w:rPr>
          <w:rFonts w:asciiTheme="minorEastAsia" w:hAnsiTheme="minorEastAsia"/>
          <w:color w:val="auto"/>
          <w:sz w:val="24"/>
          <w:szCs w:val="24"/>
          <w:highlight w:val="none"/>
        </w:rPr>
      </w:pPr>
      <w:r>
        <w:rPr>
          <w:rFonts w:hint="eastAsia" w:ascii="宋体" w:hAnsi="宋体" w:eastAsia="宋体" w:cs="宋体"/>
          <w:color w:val="auto"/>
          <w:sz w:val="24"/>
          <w:highlight w:val="none"/>
        </w:rPr>
        <w:t>优先使用低挥发性有机化合物产品：采购人要落实挥发性有机化合物（VOCs）治</w:t>
      </w:r>
      <w:r>
        <w:rPr>
          <w:rFonts w:hint="eastAsia" w:ascii="宋体" w:hAnsi="宋体"/>
          <w:color w:val="auto"/>
          <w:sz w:val="24"/>
          <w:highlight w:val="none"/>
        </w:rPr>
        <w:t>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A2C4CCA">
      <w:pPr>
        <w:pStyle w:val="34"/>
        <w:numPr>
          <w:ilvl w:val="0"/>
          <w:numId w:val="2"/>
        </w:numPr>
        <w:spacing w:line="360" w:lineRule="auto"/>
        <w:ind w:firstLineChars="0"/>
        <w:jc w:val="left"/>
        <w:rPr>
          <w:rFonts w:asciiTheme="minorEastAsia" w:hAnsiTheme="minorEastAsia"/>
          <w:color w:val="auto"/>
          <w:sz w:val="24"/>
          <w:szCs w:val="24"/>
          <w:highlight w:val="none"/>
        </w:rPr>
      </w:pPr>
      <w:r>
        <w:rPr>
          <w:rFonts w:asciiTheme="minorEastAsia" w:hAnsiTheme="minorEastAsia"/>
          <w:color w:val="auto"/>
          <w:sz w:val="24"/>
          <w:highlight w:val="none"/>
        </w:rPr>
        <w:t>响应费用</w:t>
      </w:r>
    </w:p>
    <w:p w14:paraId="5E54E16D">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Theme="minorEastAsia" w:hAnsiTheme="minorEastAsia"/>
          <w:color w:val="auto"/>
          <w:sz w:val="24"/>
          <w:highlight w:val="none"/>
        </w:rPr>
        <w:t>供应商应自行承担所有与准备和参加磋商有关的费用，无论磋商的结果如何，采购人或采购代理机构在任何情况下均无承担这些费用的义务和责任</w:t>
      </w:r>
      <w:r>
        <w:rPr>
          <w:rFonts w:hint="eastAsia" w:asciiTheme="minorEastAsia" w:hAnsiTheme="minorEastAsia"/>
          <w:color w:val="auto"/>
          <w:sz w:val="24"/>
          <w:highlight w:val="none"/>
        </w:rPr>
        <w:t>。</w:t>
      </w:r>
    </w:p>
    <w:p w14:paraId="7BE7A1AA">
      <w:pPr>
        <w:spacing w:line="360" w:lineRule="auto"/>
        <w:jc w:val="center"/>
        <w:rPr>
          <w:rFonts w:asciiTheme="minorEastAsia" w:hAnsiTheme="minorEastAsia"/>
          <w:color w:val="auto"/>
          <w:sz w:val="24"/>
          <w:szCs w:val="24"/>
          <w:highlight w:val="none"/>
        </w:rPr>
      </w:pPr>
      <w:r>
        <w:rPr>
          <w:rFonts w:asciiTheme="minorEastAsia" w:hAnsiTheme="minorEastAsia"/>
          <w:b/>
          <w:color w:val="auto"/>
          <w:sz w:val="28"/>
          <w:szCs w:val="28"/>
          <w:highlight w:val="none"/>
        </w:rPr>
        <w:t>二</w:t>
      </w:r>
      <w:r>
        <w:rPr>
          <w:rFonts w:hint="eastAsia" w:asciiTheme="minorEastAsia" w:hAnsiTheme="minorEastAsia"/>
          <w:b/>
          <w:color w:val="auto"/>
          <w:sz w:val="28"/>
          <w:szCs w:val="28"/>
          <w:highlight w:val="none"/>
        </w:rPr>
        <w:t>、</w:t>
      </w:r>
      <w:r>
        <w:rPr>
          <w:rFonts w:asciiTheme="minorEastAsia" w:hAnsiTheme="minorEastAsia"/>
          <w:b/>
          <w:color w:val="auto"/>
          <w:sz w:val="28"/>
          <w:szCs w:val="28"/>
          <w:highlight w:val="none"/>
        </w:rPr>
        <w:t>竞争性磋商文件</w:t>
      </w:r>
    </w:p>
    <w:p w14:paraId="0AF1D2FA">
      <w:pPr>
        <w:pStyle w:val="34"/>
        <w:numPr>
          <w:ilvl w:val="0"/>
          <w:numId w:val="2"/>
        </w:numPr>
        <w:spacing w:line="360" w:lineRule="auto"/>
        <w:ind w:firstLineChars="0"/>
        <w:jc w:val="left"/>
        <w:rPr>
          <w:rFonts w:asciiTheme="minorEastAsia" w:hAnsiTheme="minorEastAsia"/>
          <w:color w:val="auto"/>
          <w:sz w:val="24"/>
          <w:szCs w:val="24"/>
          <w:highlight w:val="none"/>
        </w:rPr>
      </w:pPr>
      <w:bookmarkStart w:id="91" w:name="_Toc150480761"/>
      <w:bookmarkStart w:id="92" w:name="_Toc164351617"/>
      <w:bookmarkStart w:id="93" w:name="_Toc265228361"/>
      <w:bookmarkStart w:id="94" w:name="_Toc150774623"/>
      <w:bookmarkStart w:id="95" w:name="_Toc151193765"/>
      <w:bookmarkStart w:id="96" w:name="_Toc151193693"/>
      <w:bookmarkStart w:id="97" w:name="_Toc127151523"/>
      <w:bookmarkStart w:id="98" w:name="_Toc164229218"/>
      <w:bookmarkStart w:id="99" w:name="_Toc226309767"/>
      <w:bookmarkStart w:id="100" w:name="_Toc142311025"/>
      <w:bookmarkStart w:id="101" w:name="_Toc226965796"/>
      <w:bookmarkStart w:id="102" w:name="_Toc164229364"/>
      <w:bookmarkStart w:id="103" w:name="_Toc305158791"/>
      <w:bookmarkStart w:id="104" w:name="_Toc520356147"/>
      <w:bookmarkStart w:id="105" w:name="_Toc151190150"/>
      <w:bookmarkStart w:id="106" w:name="_Toc305158865"/>
      <w:bookmarkStart w:id="107" w:name="_Toc195842888"/>
      <w:bookmarkStart w:id="108" w:name="_Toc226337219"/>
      <w:bookmarkStart w:id="109" w:name="_Toc151193621"/>
      <w:bookmarkStart w:id="110" w:name="_Toc151193837"/>
      <w:bookmarkStart w:id="111" w:name="_Toc164608637"/>
      <w:bookmarkStart w:id="112" w:name="_Toc226965713"/>
      <w:bookmarkStart w:id="113" w:name="_Toc164608792"/>
      <w:bookmarkStart w:id="114" w:name="_Toc150774728"/>
      <w:bookmarkStart w:id="115" w:name="_Toc127161437"/>
      <w:bookmarkStart w:id="116" w:name="_Toc127151724"/>
      <w:bookmarkStart w:id="117" w:name="_Toc151193911"/>
      <w:bookmarkStart w:id="118" w:name="_Toc150509274"/>
      <w:bookmarkStart w:id="119" w:name="_Toc149720816"/>
      <w:bookmarkStart w:id="120" w:name="_Toc264969213"/>
      <w:r>
        <w:rPr>
          <w:rFonts w:asciiTheme="minorEastAsia" w:hAnsiTheme="minorEastAsia"/>
          <w:color w:val="auto"/>
          <w:sz w:val="24"/>
          <w:highlight w:val="none"/>
        </w:rPr>
        <w:t>竞争性磋商文件构</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Pr>
          <w:rFonts w:asciiTheme="minorEastAsia" w:hAnsiTheme="minorEastAsia"/>
          <w:color w:val="auto"/>
          <w:sz w:val="24"/>
          <w:highlight w:val="none"/>
        </w:rPr>
        <w:t>成</w:t>
      </w:r>
    </w:p>
    <w:p w14:paraId="01F44441">
      <w:pPr>
        <w:pStyle w:val="34"/>
        <w:numPr>
          <w:ilvl w:val="1"/>
          <w:numId w:val="2"/>
        </w:numPr>
        <w:spacing w:line="360" w:lineRule="auto"/>
        <w:ind w:firstLineChars="0"/>
        <w:jc w:val="left"/>
        <w:rPr>
          <w:rFonts w:asciiTheme="minorEastAsia" w:hAnsiTheme="minorEastAsia"/>
          <w:color w:val="auto"/>
          <w:sz w:val="24"/>
          <w:szCs w:val="24"/>
          <w:highlight w:val="none"/>
        </w:rPr>
      </w:pPr>
      <w:r>
        <w:rPr>
          <w:rFonts w:asciiTheme="minorEastAsia" w:hAnsiTheme="minorEastAsia"/>
          <w:color w:val="auto"/>
          <w:sz w:val="24"/>
          <w:highlight w:val="none"/>
        </w:rPr>
        <w:t>竞争性磋商文件包括以下部分：</w:t>
      </w:r>
    </w:p>
    <w:p w14:paraId="73CFBA96">
      <w:pPr>
        <w:spacing w:line="360" w:lineRule="auto"/>
        <w:ind w:firstLine="720" w:firstLineChars="3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第一章  采购邀请</w:t>
      </w:r>
    </w:p>
    <w:p w14:paraId="59362DFA">
      <w:pPr>
        <w:spacing w:line="360" w:lineRule="auto"/>
        <w:ind w:firstLine="720" w:firstLineChars="3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第二章  供应商须知</w:t>
      </w:r>
    </w:p>
    <w:p w14:paraId="00300DE6">
      <w:pPr>
        <w:spacing w:line="360" w:lineRule="auto"/>
        <w:ind w:firstLine="720" w:firstLineChars="3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第三章  评审程序、评审方法和评审标准</w:t>
      </w:r>
    </w:p>
    <w:p w14:paraId="1397A8DA">
      <w:pPr>
        <w:spacing w:line="360" w:lineRule="auto"/>
        <w:ind w:firstLine="720" w:firstLineChars="3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第四章  采购需求</w:t>
      </w:r>
    </w:p>
    <w:p w14:paraId="4F0C5A15">
      <w:pPr>
        <w:spacing w:line="360" w:lineRule="auto"/>
        <w:ind w:firstLine="720" w:firstLineChars="3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第五章  合同草案条款</w:t>
      </w:r>
    </w:p>
    <w:p w14:paraId="120C163B">
      <w:pPr>
        <w:spacing w:line="360" w:lineRule="auto"/>
        <w:ind w:firstLine="720" w:firstLineChars="3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第六章  响应文件格式</w:t>
      </w:r>
    </w:p>
    <w:p w14:paraId="3D5B0D2B">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ascii="宋体" w:hAnsi="宋体" w:eastAsia="宋体" w:cs="Times New Roman"/>
          <w:b/>
          <w:color w:val="auto"/>
          <w:sz w:val="24"/>
          <w:highlight w:val="none"/>
        </w:rPr>
        <w:t>响应无效</w:t>
      </w:r>
      <w:r>
        <w:rPr>
          <w:rFonts w:hint="eastAsia" w:asciiTheme="minorEastAsia" w:hAnsiTheme="minorEastAsia"/>
          <w:b/>
          <w:color w:val="auto"/>
          <w:sz w:val="24"/>
          <w:highlight w:val="none"/>
        </w:rPr>
        <w:t>。</w:t>
      </w:r>
    </w:p>
    <w:p w14:paraId="6AA8EE4B">
      <w:pPr>
        <w:pStyle w:val="34"/>
        <w:numPr>
          <w:ilvl w:val="0"/>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对竞争性磋商文件的澄清或修改</w:t>
      </w:r>
    </w:p>
    <w:p w14:paraId="3FB6C753">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采购人或采购代理机构对已发出的竞争性磋商文件进行必要澄清或者修改的，将在原公告发布媒体上以</w:t>
      </w:r>
      <w:r>
        <w:rPr>
          <w:rFonts w:hint="eastAsia" w:ascii="宋体" w:hAnsi="宋体" w:eastAsia="宋体" w:cs="Times New Roman"/>
          <w:color w:val="auto"/>
          <w:sz w:val="24"/>
          <w:highlight w:val="none"/>
        </w:rPr>
        <w:t>发布</w:t>
      </w:r>
      <w:r>
        <w:rPr>
          <w:rFonts w:ascii="宋体" w:hAnsi="宋体" w:eastAsia="宋体" w:cs="Times New Roman"/>
          <w:color w:val="auto"/>
          <w:sz w:val="24"/>
          <w:highlight w:val="none"/>
        </w:rPr>
        <w:t>更正公告</w:t>
      </w:r>
      <w:r>
        <w:rPr>
          <w:rFonts w:hint="eastAsia" w:ascii="宋体" w:hAnsi="宋体" w:eastAsia="宋体" w:cs="Times New Roman"/>
          <w:color w:val="auto"/>
          <w:sz w:val="24"/>
          <w:highlight w:val="none"/>
        </w:rPr>
        <w:t>的</w:t>
      </w:r>
      <w:r>
        <w:rPr>
          <w:rFonts w:ascii="宋体" w:hAnsi="宋体" w:eastAsia="宋体" w:cs="Times New Roman"/>
          <w:color w:val="auto"/>
          <w:sz w:val="24"/>
          <w:highlight w:val="none"/>
        </w:rPr>
        <w:t>形式通知所有获取</w:t>
      </w:r>
      <w:r>
        <w:rPr>
          <w:rFonts w:hint="eastAsia" w:ascii="宋体" w:hAnsi="宋体" w:eastAsia="宋体" w:cs="Times New Roman"/>
          <w:color w:val="auto"/>
          <w:sz w:val="24"/>
          <w:highlight w:val="none"/>
        </w:rPr>
        <w:t>磋商文件</w:t>
      </w:r>
      <w:r>
        <w:rPr>
          <w:rFonts w:ascii="宋体" w:hAnsi="宋体" w:eastAsia="宋体" w:cs="Times New Roman"/>
          <w:color w:val="auto"/>
          <w:sz w:val="24"/>
          <w:highlight w:val="none"/>
        </w:rPr>
        <w:t>的</w:t>
      </w:r>
      <w:r>
        <w:rPr>
          <w:rFonts w:hint="eastAsia" w:ascii="宋体" w:hAnsi="宋体" w:eastAsia="宋体" w:cs="Times New Roman"/>
          <w:color w:val="auto"/>
          <w:sz w:val="24"/>
          <w:highlight w:val="none"/>
        </w:rPr>
        <w:t>供应商</w:t>
      </w:r>
      <w:r>
        <w:rPr>
          <w:rFonts w:hint="eastAsia" w:asciiTheme="minorEastAsia" w:hAnsiTheme="minorEastAsia"/>
          <w:color w:val="auto"/>
          <w:sz w:val="24"/>
          <w:highlight w:val="none"/>
        </w:rPr>
        <w:t>。</w:t>
      </w:r>
    </w:p>
    <w:p w14:paraId="1E5DD03F">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ascii="宋体" w:hAnsi="宋体" w:eastAsia="宋体" w:cs="Times New Roman"/>
          <w:color w:val="auto"/>
          <w:sz w:val="24"/>
          <w:highlight w:val="none"/>
        </w:rPr>
        <w:t>5</w:t>
      </w:r>
      <w:r>
        <w:rPr>
          <w:rFonts w:ascii="宋体" w:hAnsi="宋体" w:eastAsia="宋体" w:cs="Times New Roman"/>
          <w:color w:val="auto"/>
          <w:sz w:val="24"/>
          <w:highlight w:val="none"/>
        </w:rPr>
        <w:t>日前</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以更正公告形式通知所有获取</w:t>
      </w:r>
      <w:r>
        <w:rPr>
          <w:rFonts w:hint="eastAsia" w:ascii="宋体" w:hAnsi="宋体" w:eastAsia="宋体" w:cs="Times New Roman"/>
          <w:color w:val="auto"/>
          <w:sz w:val="24"/>
          <w:highlight w:val="none"/>
        </w:rPr>
        <w:t>磋商</w:t>
      </w:r>
      <w:r>
        <w:rPr>
          <w:rFonts w:ascii="宋体" w:hAnsi="宋体" w:eastAsia="宋体" w:cs="Times New Roman"/>
          <w:color w:val="auto"/>
          <w:sz w:val="24"/>
          <w:highlight w:val="none"/>
        </w:rPr>
        <w:t>文件的潜在供应商；；不足上述时间的，将顺延提交响应文件的截止时间</w:t>
      </w:r>
      <w:r>
        <w:rPr>
          <w:rFonts w:hint="eastAsia" w:asciiTheme="minorEastAsia" w:hAnsiTheme="minorEastAsia"/>
          <w:color w:val="auto"/>
          <w:sz w:val="24"/>
          <w:highlight w:val="none"/>
        </w:rPr>
        <w:t>。</w:t>
      </w:r>
    </w:p>
    <w:p w14:paraId="345D97CC">
      <w:pPr>
        <w:spacing w:line="360" w:lineRule="auto"/>
        <w:jc w:val="left"/>
        <w:rPr>
          <w:rFonts w:asciiTheme="minorEastAsia" w:hAnsiTheme="minorEastAsia"/>
          <w:color w:val="auto"/>
          <w:sz w:val="24"/>
          <w:highlight w:val="none"/>
        </w:rPr>
      </w:pPr>
      <w:r>
        <w:rPr>
          <w:rFonts w:asciiTheme="minorEastAsia" w:hAnsiTheme="minorEastAsia"/>
          <w:b/>
          <w:color w:val="auto"/>
          <w:sz w:val="28"/>
          <w:szCs w:val="28"/>
          <w:highlight w:val="none"/>
        </w:rPr>
        <w:t>三</w:t>
      </w:r>
      <w:r>
        <w:rPr>
          <w:rFonts w:hint="eastAsia" w:asciiTheme="minorEastAsia" w:hAnsiTheme="minorEastAsia"/>
          <w:b/>
          <w:color w:val="auto"/>
          <w:sz w:val="28"/>
          <w:szCs w:val="28"/>
          <w:highlight w:val="none"/>
        </w:rPr>
        <w:t>、</w:t>
      </w:r>
      <w:r>
        <w:rPr>
          <w:rFonts w:asciiTheme="minorEastAsia" w:hAnsiTheme="minorEastAsia"/>
          <w:b/>
          <w:color w:val="auto"/>
          <w:sz w:val="28"/>
          <w:szCs w:val="28"/>
          <w:highlight w:val="none"/>
        </w:rPr>
        <w:t>响应文件的编制</w:t>
      </w:r>
    </w:p>
    <w:p w14:paraId="557BFFE1">
      <w:pPr>
        <w:pStyle w:val="34"/>
        <w:numPr>
          <w:ilvl w:val="0"/>
          <w:numId w:val="2"/>
        </w:numPr>
        <w:spacing w:line="360" w:lineRule="auto"/>
        <w:ind w:firstLineChars="0"/>
        <w:jc w:val="left"/>
        <w:rPr>
          <w:rFonts w:asciiTheme="minorEastAsia" w:hAnsiTheme="minorEastAsia"/>
          <w:color w:val="auto"/>
          <w:sz w:val="24"/>
          <w:highlight w:val="none"/>
        </w:rPr>
      </w:pPr>
      <w:bookmarkStart w:id="121" w:name="_Toc127161441"/>
      <w:bookmarkStart w:id="122" w:name="_Toc264969217"/>
      <w:bookmarkStart w:id="123" w:name="_Toc164229368"/>
      <w:bookmarkStart w:id="124" w:name="_Toc520356151"/>
      <w:bookmarkStart w:id="125" w:name="_Toc305158869"/>
      <w:bookmarkStart w:id="126" w:name="_Toc226309771"/>
      <w:bookmarkStart w:id="127" w:name="_Toc305158795"/>
      <w:bookmarkStart w:id="128" w:name="_Toc265228365"/>
      <w:bookmarkStart w:id="129" w:name="_Toc516367021"/>
      <w:bookmarkStart w:id="130" w:name="_Toc151193625"/>
      <w:bookmarkStart w:id="131" w:name="_Toc164608641"/>
      <w:bookmarkStart w:id="132" w:name="_Toc142311029"/>
      <w:bookmarkStart w:id="133" w:name="_Toc150509278"/>
      <w:bookmarkStart w:id="134" w:name="_Toc151193841"/>
      <w:bookmarkStart w:id="135" w:name="_Toc226965717"/>
      <w:bookmarkStart w:id="136" w:name="_Toc164351621"/>
      <w:bookmarkStart w:id="137" w:name="_Toc226337223"/>
      <w:bookmarkStart w:id="138" w:name="_Toc151190154"/>
      <w:bookmarkStart w:id="139" w:name="_Toc164608796"/>
      <w:bookmarkStart w:id="140" w:name="_Toc151193915"/>
      <w:bookmarkStart w:id="141" w:name="_Toc151193769"/>
      <w:bookmarkStart w:id="142" w:name="_Toc195842892"/>
      <w:bookmarkStart w:id="143" w:name="_Toc150480765"/>
      <w:bookmarkStart w:id="144" w:name="_Toc127151728"/>
      <w:bookmarkStart w:id="145" w:name="_Toc127151527"/>
      <w:bookmarkStart w:id="146" w:name="_Toc150774732"/>
      <w:bookmarkStart w:id="147" w:name="_Toc151193697"/>
      <w:bookmarkStart w:id="148" w:name="_Toc150774627"/>
      <w:bookmarkStart w:id="149" w:name="_Toc149720820"/>
      <w:bookmarkStart w:id="150" w:name="_Toc164229222"/>
      <w:bookmarkStart w:id="151" w:name="_Toc226965800"/>
      <w:r>
        <w:rPr>
          <w:rFonts w:ascii="宋体" w:hAnsi="宋体" w:eastAsia="宋体" w:cs="Times New Roman"/>
          <w:color w:val="auto"/>
          <w:sz w:val="24"/>
          <w:highlight w:val="none"/>
        </w:rPr>
        <w:t>响应范围、竞争性磋商文件中计量单位的使用</w:t>
      </w:r>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Pr>
          <w:rFonts w:ascii="宋体" w:hAnsi="宋体" w:eastAsia="宋体" w:cs="Times New Roman"/>
          <w:color w:val="auto"/>
          <w:sz w:val="24"/>
          <w:highlight w:val="none"/>
        </w:rPr>
        <w:t>及磋商语言</w:t>
      </w:r>
    </w:p>
    <w:p w14:paraId="0E3CE379">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ascii="宋体" w:hAnsi="宋体" w:eastAsia="宋体" w:cs="Times New Roman"/>
          <w:b/>
          <w:color w:val="auto"/>
          <w:sz w:val="24"/>
          <w:highlight w:val="none"/>
        </w:rPr>
        <w:t>响应无效</w:t>
      </w:r>
      <w:r>
        <w:rPr>
          <w:rFonts w:hint="eastAsia" w:asciiTheme="minorEastAsia" w:hAnsiTheme="minorEastAsia"/>
          <w:b/>
          <w:color w:val="auto"/>
          <w:sz w:val="24"/>
          <w:highlight w:val="none"/>
        </w:rPr>
        <w:t>。</w:t>
      </w:r>
    </w:p>
    <w:p w14:paraId="23BB30AC">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除竞争性磋商文件有特殊要求外，本项目磋商所使用的计量单位，应采用中华人民共和国法定计量单位</w:t>
      </w:r>
      <w:r>
        <w:rPr>
          <w:rFonts w:hint="eastAsia" w:asciiTheme="minorEastAsia" w:hAnsiTheme="minorEastAsia"/>
          <w:color w:val="auto"/>
          <w:sz w:val="24"/>
          <w:highlight w:val="none"/>
        </w:rPr>
        <w:t>。</w:t>
      </w:r>
    </w:p>
    <w:p w14:paraId="6EE7E400">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Theme="minorEastAsia" w:hAnsiTheme="minorEastAsia"/>
          <w:color w:val="auto"/>
          <w:sz w:val="24"/>
          <w:highlight w:val="none"/>
        </w:rPr>
        <w:t>。</w:t>
      </w:r>
    </w:p>
    <w:p w14:paraId="7A052680">
      <w:pPr>
        <w:pStyle w:val="34"/>
        <w:numPr>
          <w:ilvl w:val="0"/>
          <w:numId w:val="2"/>
        </w:numPr>
        <w:spacing w:line="360" w:lineRule="auto"/>
        <w:ind w:firstLineChars="0"/>
        <w:jc w:val="left"/>
        <w:rPr>
          <w:rFonts w:asciiTheme="minorEastAsia" w:hAnsiTheme="minorEastAsia"/>
          <w:color w:val="auto"/>
          <w:sz w:val="24"/>
          <w:highlight w:val="none"/>
        </w:rPr>
      </w:pPr>
      <w:bookmarkStart w:id="152" w:name="_Toc516367022"/>
      <w:bookmarkStart w:id="153" w:name="_Ref467306195"/>
      <w:bookmarkStart w:id="154" w:name="_Ref467306676"/>
      <w:bookmarkStart w:id="155" w:name="_Toc226337224"/>
      <w:bookmarkStart w:id="156" w:name="_Toc151193770"/>
      <w:bookmarkStart w:id="157" w:name="_Toc164229223"/>
      <w:bookmarkStart w:id="158" w:name="_Toc195842893"/>
      <w:bookmarkStart w:id="159" w:name="_Toc142311030"/>
      <w:bookmarkStart w:id="160" w:name="_Toc264969218"/>
      <w:bookmarkStart w:id="161" w:name="_Toc151190155"/>
      <w:bookmarkStart w:id="162" w:name="_Toc127151729"/>
      <w:bookmarkStart w:id="163" w:name="_Toc164608797"/>
      <w:bookmarkStart w:id="164" w:name="_Toc150509279"/>
      <w:bookmarkStart w:id="165" w:name="_Toc305158796"/>
      <w:bookmarkStart w:id="166" w:name="_Toc150774628"/>
      <w:bookmarkStart w:id="167" w:name="_Toc265228366"/>
      <w:bookmarkStart w:id="168" w:name="_Toc127151528"/>
      <w:bookmarkStart w:id="169" w:name="_Toc226309772"/>
      <w:bookmarkStart w:id="170" w:name="_Toc150774733"/>
      <w:bookmarkStart w:id="171" w:name="_Toc127161442"/>
      <w:bookmarkStart w:id="172" w:name="_Toc520356152"/>
      <w:bookmarkStart w:id="173" w:name="_Toc226965718"/>
      <w:bookmarkStart w:id="174" w:name="_Toc149720821"/>
      <w:bookmarkStart w:id="175" w:name="_Toc164351622"/>
      <w:bookmarkStart w:id="176" w:name="_Toc150480766"/>
      <w:bookmarkStart w:id="177" w:name="_Toc226965801"/>
      <w:bookmarkStart w:id="178" w:name="_Toc164608642"/>
      <w:bookmarkStart w:id="179" w:name="_Toc151193626"/>
      <w:bookmarkStart w:id="180" w:name="_Toc164229369"/>
      <w:bookmarkStart w:id="181" w:name="_Toc151193698"/>
      <w:bookmarkStart w:id="182" w:name="_Toc305158870"/>
      <w:bookmarkStart w:id="183" w:name="_Toc151193916"/>
      <w:bookmarkStart w:id="184" w:name="_Toc151193842"/>
      <w:r>
        <w:rPr>
          <w:rFonts w:asciiTheme="minorEastAsia" w:hAnsiTheme="minorEastAsia"/>
          <w:color w:val="auto"/>
          <w:sz w:val="24"/>
          <w:highlight w:val="none"/>
        </w:rPr>
        <w:t>响应文件</w:t>
      </w:r>
      <w:bookmarkEnd w:id="152"/>
      <w:bookmarkEnd w:id="153"/>
      <w:bookmarkEnd w:id="154"/>
      <w:r>
        <w:rPr>
          <w:rFonts w:asciiTheme="minorEastAsia" w:hAnsiTheme="minorEastAsia"/>
          <w:color w:val="auto"/>
          <w:sz w:val="24"/>
          <w:highlight w:val="none"/>
        </w:rPr>
        <w:t>构成</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14:paraId="62881FD5">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供应商应当按照竞争性磋商文件的要求编制响应文件，</w:t>
      </w:r>
      <w:r>
        <w:rPr>
          <w:rFonts w:ascii="宋体" w:hAnsi="宋体" w:eastAsia="宋体" w:cs="Times New Roman"/>
          <w:color w:val="auto"/>
          <w:kern w:val="0"/>
          <w:sz w:val="24"/>
          <w:highlight w:val="none"/>
        </w:rPr>
        <w:t>并对其提交的响应文件的真实性、合法性承担法律责任</w:t>
      </w:r>
      <w:r>
        <w:rPr>
          <w:rFonts w:ascii="宋体" w:hAnsi="宋体" w:eastAsia="宋体" w:cs="Times New Roman"/>
          <w:color w:val="auto"/>
          <w:sz w:val="24"/>
          <w:highlight w:val="none"/>
        </w:rPr>
        <w:t>。响应文件的部分格式要求，见第六章《响应文件格式》</w:t>
      </w:r>
      <w:r>
        <w:rPr>
          <w:rFonts w:hint="eastAsia" w:asciiTheme="minorEastAsia" w:hAnsiTheme="minorEastAsia"/>
          <w:color w:val="auto"/>
          <w:sz w:val="24"/>
          <w:highlight w:val="none"/>
        </w:rPr>
        <w:t>。</w:t>
      </w:r>
    </w:p>
    <w:p w14:paraId="13AD47AE">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kern w:val="0"/>
          <w:sz w:val="24"/>
          <w:highlight w:val="none"/>
        </w:rPr>
        <w:t>对于竞争性磋商文件中标记了</w:t>
      </w:r>
      <w:r>
        <w:rPr>
          <w:rFonts w:hint="eastAsia" w:asciiTheme="minorEastAsia" w:hAnsiTheme="minorEastAsia"/>
          <w:color w:val="auto"/>
          <w:kern w:val="0"/>
          <w:sz w:val="24"/>
          <w:highlight w:val="none"/>
        </w:rPr>
        <w:t>“</w:t>
      </w:r>
      <w:r>
        <w:rPr>
          <w:rFonts w:ascii="宋体" w:hAnsi="宋体" w:eastAsia="宋体" w:cs="Times New Roman"/>
          <w:color w:val="auto"/>
          <w:kern w:val="0"/>
          <w:sz w:val="24"/>
          <w:highlight w:val="none"/>
        </w:rPr>
        <w:t>实质性格式</w:t>
      </w:r>
      <w:r>
        <w:rPr>
          <w:rFonts w:hint="eastAsia" w:asciiTheme="minorEastAsia" w:hAnsiTheme="minorEastAsia"/>
          <w:color w:val="auto"/>
          <w:kern w:val="0"/>
          <w:sz w:val="24"/>
          <w:highlight w:val="none"/>
        </w:rPr>
        <w:t>”</w:t>
      </w:r>
      <w:r>
        <w:rPr>
          <w:rFonts w:ascii="宋体" w:hAnsi="宋体" w:eastAsia="宋体" w:cs="Times New Roman"/>
          <w:color w:val="auto"/>
          <w:kern w:val="0"/>
          <w:sz w:val="24"/>
          <w:highlight w:val="none"/>
        </w:rPr>
        <w:t>文件的，</w:t>
      </w:r>
      <w:r>
        <w:rPr>
          <w:rFonts w:ascii="宋体" w:hAnsi="宋体" w:eastAsia="宋体" w:cs="Times New Roman"/>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color w:val="auto"/>
          <w:kern w:val="0"/>
          <w:sz w:val="24"/>
          <w:highlight w:val="none"/>
        </w:rPr>
        <w:t>否则响应无效</w:t>
      </w:r>
      <w:r>
        <w:rPr>
          <w:rFonts w:ascii="宋体" w:hAnsi="宋体" w:eastAsia="宋体" w:cs="Times New Roman"/>
          <w:color w:val="auto"/>
          <w:kern w:val="0"/>
          <w:sz w:val="24"/>
          <w:highlight w:val="none"/>
        </w:rPr>
        <w:t>。未标记</w:t>
      </w:r>
      <w:r>
        <w:rPr>
          <w:rFonts w:hint="eastAsia" w:asciiTheme="minorEastAsia" w:hAnsiTheme="minorEastAsia"/>
          <w:color w:val="auto"/>
          <w:kern w:val="0"/>
          <w:sz w:val="24"/>
          <w:highlight w:val="none"/>
        </w:rPr>
        <w:t>“</w:t>
      </w:r>
      <w:r>
        <w:rPr>
          <w:rFonts w:ascii="宋体" w:hAnsi="宋体" w:eastAsia="宋体" w:cs="Times New Roman"/>
          <w:color w:val="auto"/>
          <w:kern w:val="0"/>
          <w:sz w:val="24"/>
          <w:highlight w:val="none"/>
        </w:rPr>
        <w:t>实质性格式</w:t>
      </w:r>
      <w:r>
        <w:rPr>
          <w:rFonts w:hint="eastAsia" w:asciiTheme="minorEastAsia" w:hAnsiTheme="minorEastAsia"/>
          <w:color w:val="auto"/>
          <w:kern w:val="0"/>
          <w:sz w:val="24"/>
          <w:highlight w:val="none"/>
        </w:rPr>
        <w:t>”</w:t>
      </w:r>
      <w:r>
        <w:rPr>
          <w:rFonts w:ascii="宋体" w:hAnsi="宋体" w:eastAsia="宋体" w:cs="Times New Roman"/>
          <w:color w:val="auto"/>
          <w:kern w:val="0"/>
          <w:sz w:val="24"/>
          <w:highlight w:val="none"/>
        </w:rPr>
        <w:t>的文件和竞争性磋商文件未提供格式的内容，可由供应商自行编写</w:t>
      </w:r>
      <w:r>
        <w:rPr>
          <w:rFonts w:asciiTheme="minorEastAsia" w:hAnsiTheme="minorEastAsia"/>
          <w:color w:val="auto"/>
          <w:kern w:val="0"/>
          <w:sz w:val="24"/>
          <w:highlight w:val="none"/>
        </w:rPr>
        <w:t>。</w:t>
      </w:r>
    </w:p>
    <w:p w14:paraId="5B2B738F">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第三章《评审方法和评审标准》中涉及的证明文件</w:t>
      </w:r>
      <w:r>
        <w:rPr>
          <w:rFonts w:hint="eastAsia" w:asciiTheme="minorEastAsia" w:hAnsiTheme="minorEastAsia"/>
          <w:color w:val="auto"/>
          <w:sz w:val="24"/>
          <w:highlight w:val="none"/>
        </w:rPr>
        <w:t>。</w:t>
      </w:r>
    </w:p>
    <w:p w14:paraId="28955AC6">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Theme="minorEastAsia" w:hAnsiTheme="minorEastAsia"/>
          <w:color w:val="auto"/>
          <w:sz w:val="24"/>
          <w:highlight w:val="none"/>
        </w:rPr>
        <w:t>。</w:t>
      </w:r>
    </w:p>
    <w:p w14:paraId="206B9FE4">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供应商认为应附的其他材料</w:t>
      </w:r>
      <w:r>
        <w:rPr>
          <w:rFonts w:hint="eastAsia" w:asciiTheme="minorEastAsia" w:hAnsiTheme="minorEastAsia"/>
          <w:color w:val="auto"/>
          <w:sz w:val="24"/>
          <w:highlight w:val="none"/>
        </w:rPr>
        <w:t>。</w:t>
      </w:r>
    </w:p>
    <w:p w14:paraId="385C59A1">
      <w:pPr>
        <w:pStyle w:val="34"/>
        <w:numPr>
          <w:ilvl w:val="1"/>
          <w:numId w:val="2"/>
        </w:numPr>
        <w:spacing w:line="360" w:lineRule="auto"/>
        <w:ind w:firstLineChars="0"/>
        <w:jc w:val="left"/>
        <w:rPr>
          <w:rFonts w:asciiTheme="minorEastAsia" w:hAnsiTheme="minorEastAsia"/>
          <w:color w:val="auto"/>
          <w:sz w:val="24"/>
          <w:highlight w:val="none"/>
        </w:rPr>
      </w:pPr>
      <w:r>
        <w:rPr>
          <w:rFonts w:hint="eastAsia" w:ascii="宋体" w:hAnsi="宋体"/>
          <w:color w:val="auto"/>
          <w:sz w:val="24"/>
          <w:highlight w:val="none"/>
        </w:rPr>
        <w:t>如标书制作工具中格式和内容与</w:t>
      </w:r>
      <w:r>
        <w:rPr>
          <w:rFonts w:hint="eastAsia" w:ascii="宋体" w:hAnsi="宋体"/>
          <w:color w:val="auto"/>
          <w:sz w:val="24"/>
          <w:szCs w:val="24"/>
          <w:highlight w:val="none"/>
        </w:rPr>
        <w:t xml:space="preserve"> “常州市政府采购网”</w:t>
      </w:r>
      <w:r>
        <w:rPr>
          <w:rFonts w:hint="eastAsia" w:ascii="宋体" w:hAnsi="宋体"/>
          <w:color w:val="auto"/>
          <w:sz w:val="24"/>
          <w:highlight w:val="none"/>
        </w:rPr>
        <w:t>发布的竞争性磋商文件不一致，请以</w:t>
      </w:r>
      <w:r>
        <w:rPr>
          <w:rFonts w:hint="eastAsia" w:ascii="宋体" w:hAnsi="宋体"/>
          <w:color w:val="auto"/>
          <w:sz w:val="24"/>
          <w:szCs w:val="24"/>
          <w:highlight w:val="none"/>
        </w:rPr>
        <w:t xml:space="preserve"> “常州市政府采购网”</w:t>
      </w:r>
      <w:r>
        <w:rPr>
          <w:rFonts w:hint="eastAsia" w:ascii="宋体" w:hAnsi="宋体"/>
          <w:color w:val="auto"/>
          <w:sz w:val="24"/>
          <w:highlight w:val="none"/>
        </w:rPr>
        <w:t>发布的竞争性磋商文件为准。</w:t>
      </w:r>
    </w:p>
    <w:p w14:paraId="0DC97B00">
      <w:pPr>
        <w:pStyle w:val="34"/>
        <w:numPr>
          <w:ilvl w:val="1"/>
          <w:numId w:val="2"/>
        </w:numPr>
        <w:spacing w:line="360" w:lineRule="auto"/>
        <w:ind w:firstLineChars="0"/>
        <w:jc w:val="left"/>
        <w:rPr>
          <w:rFonts w:asciiTheme="minorEastAsia" w:hAnsiTheme="minorEastAsia"/>
          <w:color w:val="auto"/>
          <w:sz w:val="24"/>
          <w:highlight w:val="none"/>
        </w:rPr>
      </w:pPr>
      <w:r>
        <w:rPr>
          <w:rFonts w:hint="eastAsia" w:ascii="宋体" w:hAnsi="宋体"/>
          <w:color w:val="auto"/>
          <w:sz w:val="24"/>
          <w:szCs w:val="24"/>
          <w:highlight w:val="none"/>
        </w:rPr>
        <w:t>供应商应按照法律、法规、规章和规范性文件以及竞争性磋商文件要求提交证明文件，证明其及投标标的符合竞争性磋商文件规定。竞争性磋商文件对证明文件无明确形式要求的，证明文件可以以文字资料、图纸和数据等形式提交。</w:t>
      </w:r>
    </w:p>
    <w:p w14:paraId="753783DD">
      <w:pPr>
        <w:pStyle w:val="34"/>
        <w:numPr>
          <w:ilvl w:val="0"/>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报价</w:t>
      </w:r>
    </w:p>
    <w:p w14:paraId="3B355D71">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所有响应均以人民币报价</w:t>
      </w:r>
    </w:p>
    <w:p w14:paraId="7A8E57F3">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供应商的报价应包括为完成本项目所发生的一切费用和税费，采购人将不再支付报价以外的任何费用。</w:t>
      </w:r>
      <w:r>
        <w:rPr>
          <w:rFonts w:hint="eastAsia" w:ascii="宋体" w:hAnsi="宋体" w:eastAsia="宋体" w:cs="Times New Roman"/>
          <w:color w:val="auto"/>
          <w:sz w:val="24"/>
          <w:highlight w:val="none"/>
        </w:rPr>
        <w:t>供应商的报价应包括但不限于下列内容，《供应商须知资料表》中有特殊规定的，从其规定</w:t>
      </w:r>
      <w:r>
        <w:rPr>
          <w:rFonts w:hint="eastAsia" w:asciiTheme="minorEastAsia" w:hAnsiTheme="minorEastAsia"/>
          <w:color w:val="auto"/>
          <w:sz w:val="24"/>
          <w:highlight w:val="none"/>
        </w:rPr>
        <w:t>。</w:t>
      </w:r>
    </w:p>
    <w:p w14:paraId="2F5B37E1">
      <w:pPr>
        <w:pStyle w:val="34"/>
        <w:numPr>
          <w:ilvl w:val="2"/>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p>
    <w:p w14:paraId="61515995">
      <w:pPr>
        <w:pStyle w:val="34"/>
        <w:numPr>
          <w:ilvl w:val="2"/>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按照竞争性磋商文件要求完成本项</w:t>
      </w:r>
      <w:r>
        <w:rPr>
          <w:rFonts w:hint="eastAsia" w:asciiTheme="minorEastAsia" w:hAnsiTheme="minorEastAsia"/>
          <w:color w:val="auto"/>
          <w:sz w:val="24"/>
          <w:highlight w:val="none"/>
        </w:rPr>
        <w:t>目的全部相关工程或服务费用。</w:t>
      </w:r>
    </w:p>
    <w:p w14:paraId="663FD075">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采购人不得向供应商索要或者接受其给予的赠品、回扣或者与采购无关的其他商品、服务</w:t>
      </w:r>
      <w:r>
        <w:rPr>
          <w:rFonts w:hint="eastAsia" w:asciiTheme="minorEastAsia" w:hAnsiTheme="minorEastAsia"/>
          <w:color w:val="auto"/>
          <w:sz w:val="24"/>
          <w:highlight w:val="none"/>
        </w:rPr>
        <w:t>。</w:t>
      </w:r>
    </w:p>
    <w:p w14:paraId="2CCDA812">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供应商不能提供任何有选择性或可调整的最终报价（</w:t>
      </w:r>
      <w:r>
        <w:rPr>
          <w:rFonts w:asciiTheme="minorEastAsia" w:hAnsiTheme="minorEastAsia"/>
          <w:color w:val="auto"/>
          <w:kern w:val="0"/>
          <w:sz w:val="24"/>
          <w:highlight w:val="none"/>
        </w:rPr>
        <w:t>竞争性磋商文件</w:t>
      </w:r>
      <w:r>
        <w:rPr>
          <w:rFonts w:asciiTheme="minorEastAsia" w:hAnsiTheme="minorEastAsia"/>
          <w:color w:val="auto"/>
          <w:sz w:val="24"/>
          <w:highlight w:val="none"/>
        </w:rPr>
        <w:t>另有规定的除外），否则其</w:t>
      </w:r>
      <w:r>
        <w:rPr>
          <w:rFonts w:asciiTheme="minorEastAsia" w:hAnsiTheme="minorEastAsia"/>
          <w:b/>
          <w:color w:val="auto"/>
          <w:sz w:val="24"/>
          <w:highlight w:val="none"/>
        </w:rPr>
        <w:t>响应无效</w:t>
      </w:r>
      <w:r>
        <w:rPr>
          <w:rFonts w:hint="eastAsia" w:asciiTheme="minorEastAsia" w:hAnsiTheme="minorEastAsia"/>
          <w:b/>
          <w:color w:val="auto"/>
          <w:sz w:val="24"/>
          <w:highlight w:val="none"/>
        </w:rPr>
        <w:t>。</w:t>
      </w:r>
    </w:p>
    <w:p w14:paraId="60CB3C6A">
      <w:pPr>
        <w:pStyle w:val="34"/>
        <w:numPr>
          <w:ilvl w:val="0"/>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磋商保证金</w:t>
      </w:r>
      <w:r>
        <w:rPr>
          <w:rFonts w:hint="eastAsia" w:asciiTheme="minorEastAsia" w:hAnsiTheme="minorEastAsia"/>
          <w:color w:val="auto"/>
          <w:sz w:val="24"/>
          <w:highlight w:val="none"/>
        </w:rPr>
        <w:t>：根据江苏省和常州市的相关文件规定，免收保证金</w:t>
      </w:r>
    </w:p>
    <w:p w14:paraId="7DFA797F">
      <w:pPr>
        <w:pStyle w:val="34"/>
        <w:numPr>
          <w:ilvl w:val="0"/>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响应有效期</w:t>
      </w:r>
    </w:p>
    <w:p w14:paraId="46C0EACF">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响应文件应在本竞争性磋商文件《供应商须知资料表》中规定的响应有效期内保持有效，响应有效期少于竞争性磋商文件规定期限的，其</w:t>
      </w:r>
      <w:r>
        <w:rPr>
          <w:rFonts w:asciiTheme="minorEastAsia" w:hAnsiTheme="minorEastAsia"/>
          <w:b/>
          <w:color w:val="auto"/>
          <w:sz w:val="24"/>
          <w:highlight w:val="none"/>
        </w:rPr>
        <w:t>响应无效</w:t>
      </w:r>
      <w:r>
        <w:rPr>
          <w:rFonts w:hint="eastAsia" w:asciiTheme="minorEastAsia" w:hAnsiTheme="minorEastAsia"/>
          <w:b/>
          <w:color w:val="auto"/>
          <w:sz w:val="24"/>
          <w:highlight w:val="none"/>
        </w:rPr>
        <w:t>。</w:t>
      </w:r>
    </w:p>
    <w:p w14:paraId="75F8E779">
      <w:pPr>
        <w:pStyle w:val="34"/>
        <w:numPr>
          <w:ilvl w:val="0"/>
          <w:numId w:val="2"/>
        </w:numPr>
        <w:spacing w:line="360" w:lineRule="auto"/>
        <w:ind w:firstLineChars="0"/>
        <w:jc w:val="left"/>
        <w:rPr>
          <w:rFonts w:asciiTheme="minorEastAsia" w:hAnsiTheme="minorEastAsia"/>
          <w:color w:val="auto"/>
          <w:sz w:val="24"/>
          <w:highlight w:val="none"/>
        </w:rPr>
      </w:pPr>
      <w:bookmarkStart w:id="185" w:name="_Toc226965806"/>
      <w:bookmarkStart w:id="186" w:name="_Toc151193921"/>
      <w:bookmarkStart w:id="187" w:name="_Toc127151533"/>
      <w:bookmarkStart w:id="188" w:name="_Toc151193775"/>
      <w:bookmarkStart w:id="189" w:name="_Toc164351627"/>
      <w:bookmarkStart w:id="190" w:name="_Toc226309777"/>
      <w:bookmarkStart w:id="191" w:name="_Toc150774738"/>
      <w:bookmarkStart w:id="192" w:name="_Toc305158801"/>
      <w:bookmarkStart w:id="193" w:name="_Toc164229374"/>
      <w:bookmarkStart w:id="194" w:name="_Toc164608647"/>
      <w:bookmarkStart w:id="195" w:name="_Toc264969223"/>
      <w:bookmarkStart w:id="196" w:name="_Toc151193703"/>
      <w:bookmarkStart w:id="197" w:name="_Toc151190160"/>
      <w:bookmarkStart w:id="198" w:name="_Toc164608802"/>
      <w:bookmarkStart w:id="199" w:name="_Toc127151734"/>
      <w:bookmarkStart w:id="200" w:name="_Toc265228371"/>
      <w:bookmarkStart w:id="201" w:name="_Toc151193631"/>
      <w:bookmarkStart w:id="202" w:name="_Toc142311035"/>
      <w:bookmarkStart w:id="203" w:name="_Toc520356158"/>
      <w:bookmarkStart w:id="204" w:name="_Toc226337229"/>
      <w:bookmarkStart w:id="205" w:name="_Toc164229228"/>
      <w:bookmarkStart w:id="206" w:name="_Toc127161447"/>
      <w:bookmarkStart w:id="207" w:name="_Toc151193847"/>
      <w:bookmarkStart w:id="208" w:name="_Toc149720826"/>
      <w:bookmarkStart w:id="209" w:name="_Toc305158875"/>
      <w:bookmarkStart w:id="210" w:name="_Toc150509284"/>
      <w:bookmarkStart w:id="211" w:name="_Toc150480771"/>
      <w:bookmarkStart w:id="212" w:name="_Toc195842898"/>
      <w:bookmarkStart w:id="213" w:name="_Toc150774633"/>
      <w:bookmarkStart w:id="214" w:name="_Toc226965723"/>
      <w:r>
        <w:rPr>
          <w:rFonts w:ascii="宋体" w:hAnsi="宋体" w:eastAsia="宋体" w:cs="Times New Roman"/>
          <w:color w:val="auto"/>
          <w:sz w:val="24"/>
          <w:highlight w:val="none"/>
        </w:rPr>
        <w:t>响应文件的签署</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Pr>
          <w:rFonts w:ascii="宋体" w:hAnsi="宋体" w:eastAsia="宋体" w:cs="Times New Roman"/>
          <w:color w:val="auto"/>
          <w:sz w:val="24"/>
          <w:highlight w:val="none"/>
        </w:rPr>
        <w:t>、盖章</w:t>
      </w:r>
    </w:p>
    <w:p w14:paraId="7CEE2778">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竞争性磋商文件要求签字的内容，</w:t>
      </w:r>
      <w:r>
        <w:rPr>
          <w:rFonts w:hint="eastAsia" w:ascii="宋体" w:hAnsi="宋体" w:eastAsia="宋体" w:cs="Times New Roman"/>
          <w:color w:val="auto"/>
          <w:sz w:val="24"/>
          <w:highlight w:val="none"/>
        </w:rPr>
        <w:t>可以使用电子签章或使用原件的电子件（电子件指扫描件、照片等形式电子文件）；要求</w:t>
      </w:r>
      <w:r>
        <w:rPr>
          <w:rFonts w:ascii="宋体" w:hAnsi="宋体" w:eastAsia="宋体" w:cs="Times New Roman"/>
          <w:color w:val="auto"/>
          <w:sz w:val="24"/>
          <w:highlight w:val="none"/>
        </w:rPr>
        <w:t>第三方出具的盖章件原件（如联合协议、分包意向协议、制造商授权书原件等），响应文件中应使用原件的电子件</w:t>
      </w:r>
    </w:p>
    <w:p w14:paraId="64046AF3">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竞争性磋商文件要求盖章的内容，</w:t>
      </w:r>
      <w:r>
        <w:rPr>
          <w:rFonts w:hint="eastAsia" w:ascii="宋体" w:hAnsi="宋体" w:eastAsia="宋体" w:cs="Times New Roman"/>
          <w:color w:val="auto"/>
          <w:sz w:val="24"/>
          <w:highlight w:val="none"/>
        </w:rPr>
        <w:t>一般</w:t>
      </w:r>
      <w:r>
        <w:rPr>
          <w:rFonts w:ascii="宋体" w:hAnsi="宋体" w:eastAsia="宋体" w:cs="Times New Roman"/>
          <w:color w:val="auto"/>
          <w:sz w:val="24"/>
          <w:highlight w:val="none"/>
        </w:rPr>
        <w:t>通过</w:t>
      </w:r>
      <w:r>
        <w:rPr>
          <w:rFonts w:hint="eastAsia" w:ascii="宋体" w:hAnsi="宋体" w:eastAsia="宋体" w:cs="Times New Roman"/>
          <w:color w:val="auto"/>
          <w:sz w:val="24"/>
          <w:highlight w:val="none"/>
        </w:rPr>
        <w:t>响应</w:t>
      </w:r>
      <w:r>
        <w:rPr>
          <w:rFonts w:ascii="宋体" w:hAnsi="宋体" w:eastAsia="宋体" w:cs="Times New Roman"/>
          <w:color w:val="auto"/>
          <w:sz w:val="24"/>
          <w:highlight w:val="none"/>
        </w:rPr>
        <w:t>文件编制工具加盖电子签章</w:t>
      </w:r>
      <w:r>
        <w:rPr>
          <w:rFonts w:hint="eastAsia" w:asciiTheme="minorEastAsia" w:hAnsiTheme="minorEastAsia"/>
          <w:color w:val="auto"/>
          <w:sz w:val="24"/>
          <w:highlight w:val="none"/>
        </w:rPr>
        <w:t>。</w:t>
      </w:r>
    </w:p>
    <w:p w14:paraId="29F3DBDC">
      <w:pPr>
        <w:spacing w:line="360" w:lineRule="auto"/>
        <w:jc w:val="left"/>
        <w:rPr>
          <w:rFonts w:asciiTheme="minorEastAsia" w:hAnsiTheme="minorEastAsia"/>
          <w:color w:val="auto"/>
          <w:sz w:val="24"/>
          <w:highlight w:val="none"/>
        </w:rPr>
      </w:pPr>
      <w:bookmarkStart w:id="215" w:name="_Toc226337230"/>
      <w:bookmarkStart w:id="216" w:name="_Toc265228372"/>
      <w:bookmarkStart w:id="217" w:name="_Toc226965807"/>
      <w:bookmarkStart w:id="218" w:name="_Toc305158876"/>
      <w:bookmarkStart w:id="219" w:name="_Toc520356159"/>
      <w:bookmarkStart w:id="220" w:name="_Toc226965724"/>
      <w:bookmarkStart w:id="221" w:name="_Toc127151534"/>
      <w:bookmarkStart w:id="222" w:name="_Toc150774739"/>
      <w:bookmarkStart w:id="223" w:name="_Toc151193704"/>
      <w:bookmarkStart w:id="224" w:name="_Toc150509285"/>
      <w:bookmarkStart w:id="225" w:name="_Toc305158802"/>
      <w:bookmarkStart w:id="226" w:name="_Toc151190161"/>
      <w:bookmarkStart w:id="227" w:name="_Toc150480772"/>
      <w:bookmarkStart w:id="228" w:name="_Toc151193632"/>
      <w:bookmarkStart w:id="229" w:name="_Toc151193776"/>
      <w:bookmarkStart w:id="230" w:name="_Toc264969224"/>
      <w:bookmarkStart w:id="231" w:name="_Toc150774634"/>
      <w:bookmarkStart w:id="232" w:name="_Toc195842899"/>
      <w:bookmarkStart w:id="233" w:name="_Toc151193922"/>
      <w:bookmarkStart w:id="234" w:name="_Toc151193848"/>
      <w:bookmarkStart w:id="235" w:name="_Toc142311036"/>
      <w:bookmarkStart w:id="236" w:name="_Toc226309778"/>
      <w:r>
        <w:rPr>
          <w:rFonts w:asciiTheme="minorEastAsia" w:hAnsiTheme="minorEastAsia"/>
          <w:b/>
          <w:color w:val="auto"/>
          <w:sz w:val="28"/>
          <w:szCs w:val="28"/>
          <w:highlight w:val="none"/>
        </w:rPr>
        <w:t>四</w:t>
      </w:r>
      <w:r>
        <w:rPr>
          <w:rFonts w:hint="eastAsia" w:asciiTheme="minorEastAsia" w:hAnsiTheme="minorEastAsia"/>
          <w:b/>
          <w:color w:val="auto"/>
          <w:sz w:val="28"/>
          <w:szCs w:val="28"/>
          <w:highlight w:val="none"/>
        </w:rPr>
        <w:t>、</w:t>
      </w:r>
      <w:r>
        <w:rPr>
          <w:rFonts w:asciiTheme="minorEastAsia" w:hAnsiTheme="minorEastAsia"/>
          <w:b/>
          <w:color w:val="auto"/>
          <w:sz w:val="28"/>
          <w:szCs w:val="28"/>
          <w:highlight w:val="none"/>
        </w:rPr>
        <w:t>响应文件的提交</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14:paraId="1AAE72D0">
      <w:pPr>
        <w:pStyle w:val="34"/>
        <w:numPr>
          <w:ilvl w:val="0"/>
          <w:numId w:val="2"/>
        </w:numPr>
        <w:spacing w:line="360" w:lineRule="auto"/>
        <w:ind w:firstLineChars="0"/>
        <w:jc w:val="left"/>
        <w:rPr>
          <w:rFonts w:asciiTheme="minorEastAsia" w:hAnsiTheme="minorEastAsia"/>
          <w:color w:val="auto"/>
          <w:sz w:val="24"/>
          <w:highlight w:val="none"/>
        </w:rPr>
      </w:pPr>
      <w:bookmarkStart w:id="237" w:name="_Toc151193705"/>
      <w:bookmarkStart w:id="238" w:name="_Toc151193849"/>
      <w:bookmarkStart w:id="239" w:name="_Toc195842900"/>
      <w:bookmarkStart w:id="240" w:name="_Toc164229376"/>
      <w:bookmarkStart w:id="241" w:name="_Toc164608649"/>
      <w:bookmarkStart w:id="242" w:name="_Toc305158877"/>
      <w:bookmarkStart w:id="243" w:name="_Toc151190162"/>
      <w:bookmarkStart w:id="244" w:name="_Toc150509286"/>
      <w:bookmarkStart w:id="245" w:name="_Toc150774740"/>
      <w:bookmarkStart w:id="246" w:name="_Toc127151535"/>
      <w:bookmarkStart w:id="247" w:name="_Toc164608804"/>
      <w:bookmarkStart w:id="248" w:name="_Toc142311037"/>
      <w:bookmarkStart w:id="249" w:name="_Toc127161449"/>
      <w:bookmarkStart w:id="250" w:name="_Toc150480773"/>
      <w:bookmarkStart w:id="251" w:name="_Toc226965725"/>
      <w:bookmarkStart w:id="252" w:name="_Toc151193633"/>
      <w:bookmarkStart w:id="253" w:name="_Toc226337231"/>
      <w:bookmarkStart w:id="254" w:name="_Toc151193777"/>
      <w:bookmarkStart w:id="255" w:name="_Toc520356160"/>
      <w:bookmarkStart w:id="256" w:name="_Toc149720828"/>
      <w:bookmarkStart w:id="257" w:name="_Toc151193923"/>
      <w:bookmarkStart w:id="258" w:name="_Toc264969225"/>
      <w:bookmarkStart w:id="259" w:name="_Toc305158803"/>
      <w:bookmarkStart w:id="260" w:name="_Toc226309779"/>
      <w:bookmarkStart w:id="261" w:name="_Toc164229230"/>
      <w:bookmarkStart w:id="262" w:name="_Toc150774635"/>
      <w:bookmarkStart w:id="263" w:name="_Toc265228373"/>
      <w:bookmarkStart w:id="264" w:name="_Toc226965808"/>
      <w:bookmarkStart w:id="265" w:name="_Toc127151736"/>
      <w:bookmarkStart w:id="266" w:name="_Toc164351629"/>
      <w:r>
        <w:rPr>
          <w:rFonts w:asciiTheme="minorEastAsia" w:hAnsiTheme="minorEastAsia"/>
          <w:color w:val="auto"/>
          <w:sz w:val="24"/>
          <w:highlight w:val="none"/>
        </w:rPr>
        <w:t>响应文件的</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Pr>
          <w:rFonts w:asciiTheme="minorEastAsia" w:hAnsiTheme="minorEastAsia"/>
          <w:color w:val="auto"/>
          <w:sz w:val="24"/>
          <w:highlight w:val="none"/>
        </w:rPr>
        <w:t>提交</w:t>
      </w:r>
    </w:p>
    <w:p w14:paraId="532AD009">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本项目使用</w:t>
      </w:r>
      <w:r>
        <w:rPr>
          <w:rFonts w:hint="eastAsia" w:ascii="宋体" w:hAnsi="宋体" w:eastAsia="宋体" w:cs="Times New Roman"/>
          <w:color w:val="auto"/>
          <w:sz w:val="24"/>
          <w:highlight w:val="none"/>
        </w:rPr>
        <w:t>“苏采云”系统</w:t>
      </w:r>
      <w:r>
        <w:rPr>
          <w:rFonts w:ascii="宋体" w:hAnsi="宋体" w:eastAsia="宋体" w:cs="Times New Roman"/>
          <w:color w:val="auto"/>
          <w:sz w:val="24"/>
          <w:highlight w:val="none"/>
        </w:rPr>
        <w:t>。供应商根据竞争性磋商文件及</w:t>
      </w:r>
      <w:r>
        <w:rPr>
          <w:rFonts w:hint="eastAsia" w:ascii="宋体" w:hAnsi="宋体" w:eastAsia="宋体" w:cs="Times New Roman"/>
          <w:color w:val="auto"/>
          <w:sz w:val="24"/>
          <w:highlight w:val="none"/>
        </w:rPr>
        <w:t>“苏采云”系统</w:t>
      </w:r>
      <w:r>
        <w:rPr>
          <w:rFonts w:ascii="宋体" w:hAnsi="宋体" w:eastAsia="宋体" w:cs="Times New Roman"/>
          <w:color w:val="auto"/>
          <w:sz w:val="24"/>
          <w:highlight w:val="none"/>
        </w:rPr>
        <w:t>供应商操作手册要求编制、生成并提交电子响应文件。</w:t>
      </w:r>
    </w:p>
    <w:p w14:paraId="068B2B50">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采购人及采购代理机构拒绝接受通过</w:t>
      </w:r>
      <w:r>
        <w:rPr>
          <w:rFonts w:hint="eastAsia" w:ascii="宋体" w:hAnsi="宋体" w:eastAsia="宋体" w:cs="Times New Roman"/>
          <w:color w:val="auto"/>
          <w:sz w:val="24"/>
          <w:highlight w:val="none"/>
        </w:rPr>
        <w:t>“苏采云”系统</w:t>
      </w:r>
      <w:r>
        <w:rPr>
          <w:rFonts w:ascii="宋体" w:hAnsi="宋体" w:eastAsia="宋体" w:cs="Times New Roman"/>
          <w:color w:val="auto"/>
          <w:sz w:val="24"/>
          <w:highlight w:val="none"/>
        </w:rPr>
        <w:t>以外任何形式提交的响应文件，磋商保证金除外</w:t>
      </w:r>
      <w:r>
        <w:rPr>
          <w:rFonts w:hint="eastAsia" w:asciiTheme="minorEastAsia" w:hAnsiTheme="minorEastAsia"/>
          <w:color w:val="auto"/>
          <w:sz w:val="24"/>
          <w:highlight w:val="none"/>
        </w:rPr>
        <w:t>。</w:t>
      </w:r>
    </w:p>
    <w:p w14:paraId="1D0DB0C3">
      <w:pPr>
        <w:pStyle w:val="34"/>
        <w:numPr>
          <w:ilvl w:val="0"/>
          <w:numId w:val="2"/>
        </w:numPr>
        <w:spacing w:line="360" w:lineRule="auto"/>
        <w:ind w:firstLineChars="0"/>
        <w:jc w:val="left"/>
        <w:rPr>
          <w:rFonts w:asciiTheme="minorEastAsia" w:hAnsiTheme="minorEastAsia"/>
          <w:color w:val="auto"/>
          <w:sz w:val="24"/>
          <w:highlight w:val="none"/>
        </w:rPr>
      </w:pPr>
      <w:bookmarkStart w:id="267" w:name="_Toc127151536"/>
      <w:bookmarkStart w:id="268" w:name="_Toc150509287"/>
      <w:bookmarkStart w:id="269" w:name="_Toc151190163"/>
      <w:bookmarkStart w:id="270" w:name="_Toc150480774"/>
      <w:bookmarkStart w:id="271" w:name="_Toc164608805"/>
      <w:bookmarkStart w:id="272" w:name="_Toc127151737"/>
      <w:bookmarkStart w:id="273" w:name="_Toc226965809"/>
      <w:bookmarkStart w:id="274" w:name="_Toc164229231"/>
      <w:bookmarkStart w:id="275" w:name="_Toc151193778"/>
      <w:bookmarkStart w:id="276" w:name="_Toc264969226"/>
      <w:bookmarkStart w:id="277" w:name="_Toc226337232"/>
      <w:bookmarkStart w:id="278" w:name="_Toc520356161"/>
      <w:bookmarkStart w:id="279" w:name="_Toc142311038"/>
      <w:bookmarkStart w:id="280" w:name="_Toc151193850"/>
      <w:bookmarkStart w:id="281" w:name="_Toc127161450"/>
      <w:bookmarkStart w:id="282" w:name="_Toc226965726"/>
      <w:bookmarkStart w:id="283" w:name="_Toc151193924"/>
      <w:bookmarkStart w:id="284" w:name="_Toc151193706"/>
      <w:bookmarkStart w:id="285" w:name="_Toc265228374"/>
      <w:bookmarkStart w:id="286" w:name="_Toc151193634"/>
      <w:bookmarkStart w:id="287" w:name="_Toc164229377"/>
      <w:bookmarkStart w:id="288" w:name="_Toc164351630"/>
      <w:bookmarkStart w:id="289" w:name="_Toc150774741"/>
      <w:bookmarkStart w:id="290" w:name="_Toc226309780"/>
      <w:bookmarkStart w:id="291" w:name="_Toc149720829"/>
      <w:bookmarkStart w:id="292" w:name="_Toc305158878"/>
      <w:bookmarkStart w:id="293" w:name="_Toc195842901"/>
      <w:bookmarkStart w:id="294" w:name="_Toc150774636"/>
      <w:bookmarkStart w:id="295" w:name="_Toc305158804"/>
      <w:bookmarkStart w:id="296" w:name="_Toc164608650"/>
      <w:r>
        <w:rPr>
          <w:rFonts w:asciiTheme="minorEastAsia" w:hAnsiTheme="minorEastAsia"/>
          <w:color w:val="auto"/>
          <w:sz w:val="24"/>
          <w:highlight w:val="none"/>
        </w:rPr>
        <w:t>响应文件截止</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Pr>
          <w:rFonts w:asciiTheme="minorEastAsia" w:hAnsiTheme="minorEastAsia"/>
          <w:color w:val="auto"/>
          <w:sz w:val="24"/>
          <w:highlight w:val="none"/>
        </w:rPr>
        <w:t>时间</w:t>
      </w:r>
    </w:p>
    <w:p w14:paraId="785672B4">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供应商应在竞争性磋商文件要求提交响应文件截止时间前，将电子响应文件提交至</w:t>
      </w:r>
      <w:r>
        <w:rPr>
          <w:rFonts w:hint="eastAsia" w:ascii="宋体" w:hAnsi="宋体" w:eastAsia="宋体" w:cs="Times New Roman"/>
          <w:color w:val="auto"/>
          <w:sz w:val="24"/>
          <w:highlight w:val="none"/>
        </w:rPr>
        <w:t>“苏采云”系统</w:t>
      </w:r>
      <w:r>
        <w:rPr>
          <w:rFonts w:hint="eastAsia" w:asciiTheme="minorEastAsia" w:hAnsiTheme="minorEastAsia"/>
          <w:color w:val="auto"/>
          <w:sz w:val="24"/>
          <w:highlight w:val="none"/>
        </w:rPr>
        <w:t>。</w:t>
      </w:r>
    </w:p>
    <w:p w14:paraId="429F6BF0">
      <w:pPr>
        <w:pStyle w:val="34"/>
        <w:numPr>
          <w:ilvl w:val="0"/>
          <w:numId w:val="2"/>
        </w:numPr>
        <w:spacing w:line="360" w:lineRule="auto"/>
        <w:ind w:firstLineChars="0"/>
        <w:jc w:val="left"/>
        <w:rPr>
          <w:rFonts w:asciiTheme="minorEastAsia" w:hAnsiTheme="minorEastAsia"/>
          <w:color w:val="auto"/>
          <w:sz w:val="24"/>
          <w:highlight w:val="none"/>
        </w:rPr>
      </w:pPr>
      <w:bookmarkStart w:id="297" w:name="_Toc151190164"/>
      <w:bookmarkStart w:id="298" w:name="_Toc150480775"/>
      <w:bookmarkStart w:id="299" w:name="_Toc151193707"/>
      <w:bookmarkStart w:id="300" w:name="_Toc151193635"/>
      <w:bookmarkStart w:id="301" w:name="_Toc164608651"/>
      <w:bookmarkStart w:id="302" w:name="_Toc164229378"/>
      <w:bookmarkStart w:id="303" w:name="_Toc150509288"/>
      <w:bookmarkStart w:id="304" w:name="_Toc305158805"/>
      <w:bookmarkStart w:id="305" w:name="_Toc226965810"/>
      <w:bookmarkStart w:id="306" w:name="_Toc226965727"/>
      <w:bookmarkStart w:id="307" w:name="_Toc226337233"/>
      <w:bookmarkStart w:id="308" w:name="_Toc151193851"/>
      <w:bookmarkStart w:id="309" w:name="_Toc265228375"/>
      <w:bookmarkStart w:id="310" w:name="_Toc151193779"/>
      <w:bookmarkStart w:id="311" w:name="_Toc264969227"/>
      <w:bookmarkStart w:id="312" w:name="_Toc127161451"/>
      <w:bookmarkStart w:id="313" w:name="_Toc520356162"/>
      <w:bookmarkStart w:id="314" w:name="_Toc164229232"/>
      <w:bookmarkStart w:id="315" w:name="_Toc127151738"/>
      <w:bookmarkStart w:id="316" w:name="_Toc195842902"/>
      <w:bookmarkStart w:id="317" w:name="_Toc150774742"/>
      <w:bookmarkStart w:id="318" w:name="_Toc164608806"/>
      <w:bookmarkStart w:id="319" w:name="_Toc142311039"/>
      <w:bookmarkStart w:id="320" w:name="_Toc164351631"/>
      <w:bookmarkStart w:id="321" w:name="_Toc305158879"/>
      <w:bookmarkStart w:id="322" w:name="_Toc150774637"/>
      <w:bookmarkStart w:id="323" w:name="_Toc151193925"/>
      <w:bookmarkStart w:id="324" w:name="_Toc149720830"/>
      <w:bookmarkStart w:id="325" w:name="_Toc226309781"/>
      <w:bookmarkStart w:id="326" w:name="_Toc127151537"/>
      <w:r>
        <w:rPr>
          <w:rFonts w:asciiTheme="minorEastAsia" w:hAnsiTheme="minorEastAsia"/>
          <w:color w:val="auto"/>
          <w:sz w:val="24"/>
          <w:highlight w:val="none"/>
        </w:rPr>
        <w:t>响应文件的修改与撤回</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14:paraId="430B21EA">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提交响应文件截止时间前，供应商可以通过</w:t>
      </w:r>
      <w:r>
        <w:rPr>
          <w:rFonts w:hint="eastAsia" w:ascii="宋体" w:hAnsi="宋体" w:eastAsia="宋体" w:cs="Times New Roman"/>
          <w:color w:val="auto"/>
          <w:sz w:val="24"/>
          <w:highlight w:val="none"/>
        </w:rPr>
        <w:t>“苏采云”系统</w:t>
      </w:r>
      <w:r>
        <w:rPr>
          <w:rFonts w:ascii="宋体" w:hAnsi="宋体" w:eastAsia="宋体" w:cs="Times New Roman"/>
          <w:color w:val="auto"/>
          <w:sz w:val="24"/>
          <w:highlight w:val="none"/>
        </w:rPr>
        <w:t>对所提交的响应文件进行补充、修改或者撤回</w:t>
      </w:r>
      <w:r>
        <w:rPr>
          <w:rFonts w:hint="eastAsia" w:asciiTheme="minorEastAsia" w:hAnsiTheme="minorEastAsia"/>
          <w:color w:val="auto"/>
          <w:sz w:val="24"/>
          <w:highlight w:val="none"/>
        </w:rPr>
        <w:t>。</w:t>
      </w:r>
      <w:r>
        <w:rPr>
          <w:rFonts w:hint="eastAsia" w:ascii="宋体" w:hAnsi="宋体"/>
          <w:color w:val="auto"/>
          <w:sz w:val="24"/>
          <w:highlight w:val="none"/>
        </w:rPr>
        <w:t>具体操作方法见《操作手册》。</w:t>
      </w:r>
    </w:p>
    <w:p w14:paraId="36B440BA">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供应商对响应文件的补充、修改的内容应当按照竞争性磋商文件要求签署、盖章，作为响应文件的组成部分。</w:t>
      </w:r>
      <w:r>
        <w:rPr>
          <w:rFonts w:ascii="宋体" w:hAnsi="宋体" w:eastAsia="宋体" w:cs="Times New Roman"/>
          <w:color w:val="auto"/>
          <w:kern w:val="0"/>
          <w:sz w:val="24"/>
          <w:highlight w:val="none"/>
        </w:rPr>
        <w:t>补充、修改的内容与响应文件不一致的，以补充、修改的内容为准</w:t>
      </w:r>
      <w:r>
        <w:rPr>
          <w:rFonts w:hint="eastAsia" w:asciiTheme="minorEastAsia" w:hAnsiTheme="minorEastAsia"/>
          <w:color w:val="auto"/>
          <w:kern w:val="0"/>
          <w:sz w:val="24"/>
          <w:highlight w:val="none"/>
        </w:rPr>
        <w:t>。</w:t>
      </w:r>
    </w:p>
    <w:p w14:paraId="6746BFB3">
      <w:pPr>
        <w:pStyle w:val="34"/>
        <w:numPr>
          <w:ilvl w:val="1"/>
          <w:numId w:val="2"/>
        </w:numPr>
        <w:spacing w:line="360" w:lineRule="auto"/>
        <w:ind w:firstLineChars="0"/>
        <w:jc w:val="left"/>
        <w:rPr>
          <w:rFonts w:ascii="宋体" w:hAnsi="宋体"/>
          <w:bCs/>
          <w:color w:val="auto"/>
          <w:sz w:val="24"/>
          <w:highlight w:val="none"/>
        </w:rPr>
      </w:pPr>
      <w:r>
        <w:rPr>
          <w:rFonts w:hint="eastAsia" w:ascii="宋体" w:hAnsi="宋体"/>
          <w:bCs/>
          <w:color w:val="auto"/>
          <w:sz w:val="24"/>
          <w:highlight w:val="none"/>
        </w:rPr>
        <w:t>在提交响应文件截止时间至磋商文件中规定的磋商有效期满之间的这段时间内，供应商不得撤回其响应文件。</w:t>
      </w:r>
    </w:p>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14:paraId="44BE0C86">
      <w:pPr>
        <w:spacing w:line="360" w:lineRule="auto"/>
        <w:jc w:val="left"/>
        <w:rPr>
          <w:rFonts w:asciiTheme="minorEastAsia" w:hAnsiTheme="minorEastAsia"/>
          <w:b/>
          <w:color w:val="auto"/>
          <w:sz w:val="28"/>
          <w:szCs w:val="28"/>
          <w:highlight w:val="none"/>
        </w:rPr>
      </w:pPr>
      <w:bookmarkStart w:id="327" w:name="_Toc150509289"/>
      <w:bookmarkStart w:id="328" w:name="_Toc151193780"/>
      <w:bookmarkStart w:id="329" w:name="_Toc226965811"/>
      <w:bookmarkStart w:id="330" w:name="_Toc264969228"/>
      <w:bookmarkStart w:id="331" w:name="_Toc226309782"/>
      <w:bookmarkStart w:id="332" w:name="_Toc305158880"/>
      <w:bookmarkStart w:id="333" w:name="_Toc305158806"/>
      <w:bookmarkStart w:id="334" w:name="_Toc127151538"/>
      <w:bookmarkStart w:id="335" w:name="_Toc226965728"/>
      <w:bookmarkStart w:id="336" w:name="_Toc151193636"/>
      <w:bookmarkStart w:id="337" w:name="_Toc142311040"/>
      <w:bookmarkStart w:id="338" w:name="_Toc226337234"/>
      <w:bookmarkStart w:id="339" w:name="_Toc150774638"/>
      <w:bookmarkStart w:id="340" w:name="_Toc150480776"/>
      <w:bookmarkStart w:id="341" w:name="_Toc265228376"/>
      <w:bookmarkStart w:id="342" w:name="_Toc195842903"/>
      <w:bookmarkStart w:id="343" w:name="_Toc520356163"/>
      <w:bookmarkStart w:id="344" w:name="_Toc151190165"/>
      <w:bookmarkStart w:id="345" w:name="_Toc151193708"/>
      <w:bookmarkStart w:id="346" w:name="_Toc151193926"/>
      <w:bookmarkStart w:id="347" w:name="_Toc150774743"/>
      <w:bookmarkStart w:id="348" w:name="_Toc151193852"/>
      <w:r>
        <w:rPr>
          <w:rFonts w:asciiTheme="minorEastAsia" w:hAnsiTheme="minorEastAsia"/>
          <w:b/>
          <w:color w:val="auto"/>
          <w:sz w:val="28"/>
          <w:szCs w:val="28"/>
          <w:highlight w:val="none"/>
        </w:rPr>
        <w:t>五</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r>
        <w:rPr>
          <w:rFonts w:hint="eastAsia" w:asciiTheme="minorEastAsia" w:hAnsiTheme="minorEastAsia"/>
          <w:b/>
          <w:color w:val="auto"/>
          <w:sz w:val="28"/>
          <w:szCs w:val="28"/>
          <w:highlight w:val="none"/>
        </w:rPr>
        <w:t>、</w:t>
      </w:r>
      <w:r>
        <w:rPr>
          <w:rFonts w:asciiTheme="minorEastAsia" w:hAnsiTheme="minorEastAsia"/>
          <w:b/>
          <w:color w:val="auto"/>
          <w:sz w:val="28"/>
          <w:szCs w:val="28"/>
          <w:highlight w:val="none"/>
        </w:rPr>
        <w:t>评审</w:t>
      </w:r>
    </w:p>
    <w:p w14:paraId="2D80BF6A">
      <w:pPr>
        <w:pStyle w:val="34"/>
        <w:numPr>
          <w:ilvl w:val="0"/>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响应文件的</w:t>
      </w:r>
      <w:r>
        <w:rPr>
          <w:rFonts w:hint="eastAsia" w:ascii="宋体" w:hAnsi="宋体" w:eastAsia="宋体" w:cs="Times New Roman"/>
          <w:color w:val="auto"/>
          <w:sz w:val="24"/>
          <w:highlight w:val="none"/>
        </w:rPr>
        <w:t>解密与</w:t>
      </w:r>
      <w:r>
        <w:rPr>
          <w:rFonts w:ascii="宋体" w:hAnsi="宋体" w:eastAsia="宋体" w:cs="Times New Roman"/>
          <w:color w:val="auto"/>
          <w:sz w:val="24"/>
          <w:highlight w:val="none"/>
        </w:rPr>
        <w:t>开启</w:t>
      </w:r>
    </w:p>
    <w:p w14:paraId="40C3D6C3">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采购人或采购代理机构将按竞争性磋商文件的规定，在响应文件提交截止时间的同一时间和竞争性磋商文件预先确定的地点开启响应文件</w:t>
      </w:r>
      <w:r>
        <w:rPr>
          <w:rFonts w:hint="eastAsia" w:asciiTheme="minorEastAsia" w:hAnsiTheme="minorEastAsia"/>
          <w:color w:val="auto"/>
          <w:sz w:val="24"/>
          <w:highlight w:val="none"/>
        </w:rPr>
        <w:t>。</w:t>
      </w:r>
    </w:p>
    <w:p w14:paraId="3E96A5CE">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本项目采用不见面招</w:t>
      </w:r>
      <w:r>
        <w:rPr>
          <w:rFonts w:hint="eastAsia" w:ascii="宋体" w:hAnsi="宋体" w:eastAsia="宋体" w:cs="Times New Roman"/>
          <w:color w:val="auto"/>
          <w:sz w:val="24"/>
          <w:highlight w:val="none"/>
        </w:rPr>
        <w:t>交易</w:t>
      </w:r>
      <w:r>
        <w:rPr>
          <w:rFonts w:ascii="宋体" w:hAnsi="宋体" w:eastAsia="宋体" w:cs="Times New Roman"/>
          <w:color w:val="auto"/>
          <w:sz w:val="24"/>
          <w:highlight w:val="none"/>
        </w:rPr>
        <w:t>模式</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使用</w:t>
      </w:r>
      <w:r>
        <w:rPr>
          <w:rFonts w:hint="eastAsia" w:ascii="宋体" w:hAnsi="宋体" w:eastAsia="宋体" w:cs="Times New Roman"/>
          <w:color w:val="auto"/>
          <w:sz w:val="24"/>
          <w:highlight w:val="none"/>
        </w:rPr>
        <w:t>“苏采云”系统在线进行</w:t>
      </w:r>
      <w:r>
        <w:rPr>
          <w:rFonts w:ascii="宋体" w:hAnsi="宋体" w:eastAsia="宋体" w:cs="Times New Roman"/>
          <w:color w:val="auto"/>
          <w:sz w:val="24"/>
          <w:highlight w:val="none"/>
        </w:rPr>
        <w:t>解密。供应商应在规定的时间内对</w:t>
      </w:r>
      <w:r>
        <w:rPr>
          <w:rFonts w:hint="eastAsia" w:ascii="宋体" w:hAnsi="宋体" w:eastAsia="宋体" w:cs="Times New Roman"/>
          <w:color w:val="auto"/>
          <w:sz w:val="24"/>
          <w:highlight w:val="none"/>
        </w:rPr>
        <w:t>响应</w:t>
      </w:r>
      <w:r>
        <w:rPr>
          <w:rFonts w:ascii="宋体" w:hAnsi="宋体" w:eastAsia="宋体" w:cs="Times New Roman"/>
          <w:color w:val="auto"/>
          <w:sz w:val="24"/>
          <w:highlight w:val="none"/>
        </w:rPr>
        <w:t>文件进行解密，因非系统原因导致的解密失败，视为</w:t>
      </w:r>
      <w:r>
        <w:rPr>
          <w:rFonts w:ascii="宋体" w:hAnsi="宋体" w:eastAsia="宋体" w:cs="Times New Roman"/>
          <w:b/>
          <w:color w:val="auto"/>
          <w:sz w:val="24"/>
          <w:highlight w:val="none"/>
        </w:rPr>
        <w:t>响应无效</w:t>
      </w:r>
      <w:r>
        <w:rPr>
          <w:rFonts w:hint="eastAsia" w:asciiTheme="minorEastAsia" w:hAnsiTheme="minorEastAsia"/>
          <w:b/>
          <w:color w:val="auto"/>
          <w:sz w:val="24"/>
          <w:highlight w:val="none"/>
        </w:rPr>
        <w:t>。</w:t>
      </w:r>
    </w:p>
    <w:p w14:paraId="33648716">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本项目供应商不足3家的，不予解密</w:t>
      </w:r>
      <w:r>
        <w:rPr>
          <w:rFonts w:hint="eastAsia" w:asciiTheme="minorEastAsia" w:hAnsiTheme="minorEastAsia"/>
          <w:color w:val="auto"/>
          <w:sz w:val="24"/>
          <w:highlight w:val="none"/>
        </w:rPr>
        <w:t>。</w:t>
      </w:r>
    </w:p>
    <w:p w14:paraId="1A1EDBA7">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本项目不公开报价</w:t>
      </w:r>
      <w:r>
        <w:rPr>
          <w:rFonts w:hint="eastAsia" w:asciiTheme="minorEastAsia" w:hAnsiTheme="minorEastAsia"/>
          <w:color w:val="auto"/>
          <w:sz w:val="24"/>
          <w:highlight w:val="none"/>
        </w:rPr>
        <w:t>。</w:t>
      </w:r>
    </w:p>
    <w:p w14:paraId="501C9ABC">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供应商须在开标前使用“验证CA”功能验证本地计算机的控件环境是否正常，并且在</w:t>
      </w:r>
      <w:r>
        <w:rPr>
          <w:rFonts w:hint="eastAsia" w:ascii="宋体" w:hAnsi="宋体" w:eastAsia="宋体" w:cs="Times New Roman"/>
          <w:color w:val="auto"/>
          <w:sz w:val="24"/>
          <w:highlight w:val="none"/>
        </w:rPr>
        <w:t>解密、评审</w:t>
      </w:r>
      <w:r>
        <w:rPr>
          <w:rFonts w:ascii="宋体" w:hAnsi="宋体" w:eastAsia="宋体" w:cs="Times New Roman"/>
          <w:color w:val="auto"/>
          <w:sz w:val="24"/>
          <w:highlight w:val="none"/>
        </w:rPr>
        <w:t>过程中不可随意更换</w:t>
      </w:r>
      <w:r>
        <w:rPr>
          <w:rFonts w:hint="eastAsia" w:ascii="宋体" w:hAnsi="宋体" w:eastAsia="宋体" w:cs="Times New Roman"/>
          <w:color w:val="auto"/>
          <w:sz w:val="24"/>
          <w:highlight w:val="none"/>
        </w:rPr>
        <w:t>计算机</w:t>
      </w:r>
      <w:r>
        <w:rPr>
          <w:rFonts w:ascii="宋体" w:hAnsi="宋体" w:eastAsia="宋体" w:cs="Times New Roman"/>
          <w:color w:val="auto"/>
          <w:sz w:val="24"/>
          <w:highlight w:val="none"/>
        </w:rPr>
        <w:t>，必须使用验证成功的计算机进行操作，否则造成相应后果由供应商自行承担。本地计算机</w:t>
      </w:r>
      <w:r>
        <w:rPr>
          <w:rFonts w:hint="eastAsia" w:ascii="宋体" w:hAnsi="宋体" w:eastAsia="宋体" w:cs="Times New Roman"/>
          <w:color w:val="auto"/>
          <w:sz w:val="24"/>
          <w:highlight w:val="none"/>
        </w:rPr>
        <w:t>要求安装摄像头、麦克风和音箱，保持网络通畅</w:t>
      </w:r>
      <w:r>
        <w:rPr>
          <w:rFonts w:hint="eastAsia" w:asciiTheme="minorEastAsia" w:hAnsiTheme="minorEastAsia"/>
          <w:color w:val="auto"/>
          <w:sz w:val="24"/>
          <w:highlight w:val="none"/>
        </w:rPr>
        <w:t>。</w:t>
      </w:r>
    </w:p>
    <w:p w14:paraId="6E983A30">
      <w:pPr>
        <w:pStyle w:val="34"/>
        <w:numPr>
          <w:ilvl w:val="1"/>
          <w:numId w:val="2"/>
        </w:numPr>
        <w:spacing w:line="360" w:lineRule="auto"/>
        <w:ind w:firstLineChars="0"/>
        <w:jc w:val="left"/>
        <w:rPr>
          <w:rFonts w:asciiTheme="minorEastAsia" w:hAnsiTheme="minorEastAsia"/>
          <w:color w:val="auto"/>
          <w:sz w:val="24"/>
          <w:highlight w:val="none"/>
        </w:rPr>
      </w:pPr>
      <w:r>
        <w:rPr>
          <w:rFonts w:hint="eastAsia" w:ascii="宋体" w:hAnsi="宋体" w:eastAsia="宋体" w:cs="Times New Roman"/>
          <w:color w:val="auto"/>
          <w:sz w:val="24"/>
          <w:highlight w:val="none"/>
        </w:rPr>
        <w:t>因本项目</w:t>
      </w:r>
      <w:r>
        <w:rPr>
          <w:rFonts w:ascii="宋体" w:hAnsi="宋体" w:eastAsia="宋体" w:cs="Times New Roman"/>
          <w:color w:val="auto"/>
          <w:sz w:val="24"/>
          <w:highlight w:val="none"/>
        </w:rPr>
        <w:t>采用不见面交易的</w:t>
      </w:r>
      <w:r>
        <w:rPr>
          <w:rFonts w:hint="eastAsia" w:ascii="宋体" w:hAnsi="宋体" w:eastAsia="宋体" w:cs="Times New Roman"/>
          <w:color w:val="auto"/>
          <w:sz w:val="24"/>
          <w:highlight w:val="none"/>
        </w:rPr>
        <w:t>方式</w:t>
      </w:r>
      <w:r>
        <w:rPr>
          <w:rFonts w:ascii="宋体" w:hAnsi="宋体" w:eastAsia="宋体" w:cs="Times New Roman"/>
          <w:color w:val="auto"/>
          <w:sz w:val="24"/>
          <w:highlight w:val="none"/>
        </w:rPr>
        <w:t>，在</w:t>
      </w:r>
      <w:r>
        <w:rPr>
          <w:rFonts w:hint="eastAsia" w:ascii="宋体" w:hAnsi="宋体" w:eastAsia="宋体" w:cs="Times New Roman"/>
          <w:color w:val="auto"/>
          <w:sz w:val="24"/>
          <w:highlight w:val="none"/>
        </w:rPr>
        <w:t>解密、评审</w:t>
      </w:r>
      <w:r>
        <w:rPr>
          <w:rFonts w:ascii="宋体" w:hAnsi="宋体" w:eastAsia="宋体" w:cs="Times New Roman"/>
          <w:color w:val="auto"/>
          <w:sz w:val="24"/>
          <w:highlight w:val="none"/>
        </w:rPr>
        <w:t>过程中，</w:t>
      </w:r>
      <w:r>
        <w:rPr>
          <w:rFonts w:hint="eastAsia" w:ascii="宋体" w:hAnsi="宋体" w:eastAsia="宋体" w:cs="Times New Roman"/>
          <w:color w:val="auto"/>
          <w:sz w:val="24"/>
          <w:highlight w:val="none"/>
        </w:rPr>
        <w:t>供应商</w:t>
      </w:r>
      <w:r>
        <w:rPr>
          <w:rFonts w:ascii="宋体" w:hAnsi="宋体" w:eastAsia="宋体" w:cs="Times New Roman"/>
          <w:color w:val="auto"/>
          <w:sz w:val="24"/>
          <w:highlight w:val="none"/>
        </w:rPr>
        <w:t>需</w:t>
      </w:r>
      <w:r>
        <w:rPr>
          <w:rFonts w:hint="eastAsia" w:ascii="宋体" w:hAnsi="宋体" w:eastAsia="宋体" w:cs="Times New Roman"/>
          <w:color w:val="auto"/>
          <w:sz w:val="24"/>
          <w:highlight w:val="none"/>
        </w:rPr>
        <w:t>要</w:t>
      </w:r>
      <w:r>
        <w:rPr>
          <w:rFonts w:ascii="宋体" w:hAnsi="宋体" w:eastAsia="宋体" w:cs="Times New Roman"/>
          <w:color w:val="auto"/>
          <w:sz w:val="24"/>
          <w:highlight w:val="none"/>
        </w:rPr>
        <w:t>保持操作计算机前有相关责任人</w:t>
      </w:r>
      <w:r>
        <w:rPr>
          <w:rFonts w:hint="eastAsia" w:ascii="宋体" w:hAnsi="宋体" w:eastAsia="宋体" w:cs="Times New Roman"/>
          <w:color w:val="auto"/>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rFonts w:hint="eastAsia" w:asciiTheme="minorEastAsia" w:hAnsiTheme="minorEastAsia"/>
          <w:color w:val="auto"/>
          <w:sz w:val="24"/>
          <w:highlight w:val="none"/>
        </w:rPr>
        <w:t>。</w:t>
      </w:r>
    </w:p>
    <w:p w14:paraId="4E654E89">
      <w:pPr>
        <w:pStyle w:val="34"/>
        <w:numPr>
          <w:ilvl w:val="1"/>
          <w:numId w:val="2"/>
        </w:numPr>
        <w:spacing w:line="360" w:lineRule="auto"/>
        <w:ind w:firstLineChars="0"/>
        <w:jc w:val="left"/>
        <w:rPr>
          <w:rFonts w:asciiTheme="minorEastAsia" w:hAnsiTheme="minorEastAsia"/>
          <w:color w:val="auto"/>
          <w:sz w:val="24"/>
          <w:highlight w:val="none"/>
        </w:rPr>
      </w:pPr>
      <w:r>
        <w:rPr>
          <w:rFonts w:hint="eastAsia" w:ascii="宋体" w:hAnsi="宋体" w:eastAsia="宋体" w:cs="Times New Roman"/>
          <w:color w:val="auto"/>
          <w:sz w:val="24"/>
          <w:highlight w:val="none"/>
        </w:rPr>
        <w:t>如果在</w:t>
      </w:r>
      <w:r>
        <w:rPr>
          <w:rFonts w:ascii="宋体" w:hAnsi="宋体" w:eastAsia="宋体" w:cs="Times New Roman"/>
          <w:color w:val="auto"/>
          <w:sz w:val="24"/>
          <w:highlight w:val="none"/>
        </w:rPr>
        <w:t>采购</w:t>
      </w:r>
      <w:r>
        <w:rPr>
          <w:rFonts w:hint="eastAsia" w:ascii="宋体" w:hAnsi="宋体" w:eastAsia="宋体" w:cs="Times New Roman"/>
          <w:color w:val="auto"/>
          <w:sz w:val="24"/>
          <w:highlight w:val="none"/>
        </w:rPr>
        <w:t>活动</w:t>
      </w:r>
      <w:r>
        <w:rPr>
          <w:rFonts w:ascii="宋体" w:hAnsi="宋体" w:eastAsia="宋体" w:cs="Times New Roman"/>
          <w:color w:val="auto"/>
          <w:sz w:val="24"/>
          <w:highlight w:val="none"/>
        </w:rPr>
        <w:t>过程中出现以下情形，导致</w:t>
      </w:r>
      <w:r>
        <w:rPr>
          <w:rFonts w:hint="eastAsia" w:ascii="宋体" w:hAnsi="宋体" w:eastAsia="宋体" w:cs="Times New Roman"/>
          <w:color w:val="auto"/>
          <w:sz w:val="24"/>
          <w:highlight w:val="none"/>
        </w:rPr>
        <w:t>“苏采云”系统系统</w:t>
      </w:r>
      <w:r>
        <w:rPr>
          <w:rFonts w:ascii="宋体" w:hAnsi="宋体" w:eastAsia="宋体" w:cs="Times New Roman"/>
          <w:color w:val="auto"/>
          <w:sz w:val="24"/>
          <w:highlight w:val="none"/>
        </w:rPr>
        <w:t>无法正常运行，或者无法保证</w:t>
      </w:r>
      <w:r>
        <w:rPr>
          <w:rFonts w:hint="eastAsia" w:ascii="宋体" w:hAnsi="宋体" w:eastAsia="宋体" w:cs="Times New Roman"/>
          <w:color w:val="auto"/>
          <w:sz w:val="24"/>
          <w:highlight w:val="none"/>
        </w:rPr>
        <w:t>本项目采购活动</w:t>
      </w:r>
      <w:r>
        <w:rPr>
          <w:rFonts w:ascii="宋体" w:hAnsi="宋体" w:eastAsia="宋体" w:cs="Times New Roman"/>
          <w:color w:val="auto"/>
          <w:sz w:val="24"/>
          <w:highlight w:val="none"/>
        </w:rPr>
        <w:t>的公平、公正和安全时，</w:t>
      </w:r>
      <w:r>
        <w:rPr>
          <w:rFonts w:hint="eastAsia" w:ascii="宋体" w:hAnsi="宋体" w:eastAsia="宋体" w:cs="Times New Roman"/>
          <w:color w:val="auto"/>
          <w:sz w:val="24"/>
          <w:highlight w:val="none"/>
        </w:rPr>
        <w:t>代理机构</w:t>
      </w:r>
      <w:r>
        <w:rPr>
          <w:rFonts w:ascii="宋体" w:hAnsi="宋体" w:eastAsia="宋体" w:cs="Times New Roman"/>
          <w:color w:val="auto"/>
          <w:sz w:val="24"/>
          <w:highlight w:val="none"/>
        </w:rPr>
        <w:t>可</w:t>
      </w:r>
      <w:r>
        <w:rPr>
          <w:rFonts w:hint="eastAsia" w:ascii="宋体" w:hAnsi="宋体" w:eastAsia="宋体" w:cs="Times New Roman"/>
          <w:color w:val="auto"/>
          <w:sz w:val="24"/>
          <w:highlight w:val="none"/>
        </w:rPr>
        <w:t>以延缓或者暂停采购活动，情况严重的可以终止采购</w:t>
      </w:r>
      <w:r>
        <w:rPr>
          <w:rFonts w:ascii="宋体" w:hAnsi="宋体" w:eastAsia="宋体" w:cs="Times New Roman"/>
          <w:color w:val="auto"/>
          <w:sz w:val="24"/>
          <w:highlight w:val="none"/>
        </w:rPr>
        <w:t>活动：</w:t>
      </w:r>
      <w:r>
        <w:rPr>
          <w:rFonts w:hint="eastAsia" w:asciiTheme="minorEastAsia" w:hAnsiTheme="minorEastAsia"/>
          <w:color w:val="auto"/>
          <w:sz w:val="24"/>
          <w:highlight w:val="none"/>
        </w:rPr>
        <w:t>1）</w:t>
      </w:r>
      <w:r>
        <w:rPr>
          <w:rFonts w:ascii="宋体" w:hAnsi="宋体" w:eastAsia="宋体" w:cs="Times New Roman"/>
          <w:color w:val="auto"/>
          <w:sz w:val="24"/>
          <w:highlight w:val="none"/>
        </w:rPr>
        <w:t>平台</w:t>
      </w:r>
      <w:r>
        <w:rPr>
          <w:rFonts w:hint="eastAsia" w:ascii="宋体" w:hAnsi="宋体" w:eastAsia="宋体" w:cs="Times New Roman"/>
          <w:color w:val="auto"/>
          <w:sz w:val="24"/>
          <w:highlight w:val="none"/>
        </w:rPr>
        <w:t>系统</w:t>
      </w:r>
      <w:r>
        <w:rPr>
          <w:rFonts w:ascii="宋体" w:hAnsi="宋体" w:eastAsia="宋体" w:cs="Times New Roman"/>
          <w:color w:val="auto"/>
          <w:sz w:val="24"/>
          <w:highlight w:val="none"/>
        </w:rPr>
        <w:t>发生故障而无法登录访问的；</w:t>
      </w:r>
      <w:r>
        <w:rPr>
          <w:rFonts w:hint="eastAsia" w:asciiTheme="minorEastAsia" w:hAnsiTheme="minorEastAsia"/>
          <w:color w:val="auto"/>
          <w:sz w:val="24"/>
          <w:highlight w:val="none"/>
        </w:rPr>
        <w:t>2）</w:t>
      </w:r>
      <w:r>
        <w:rPr>
          <w:rFonts w:ascii="宋体" w:hAnsi="宋体" w:eastAsia="宋体" w:cs="Times New Roman"/>
          <w:color w:val="auto"/>
          <w:sz w:val="24"/>
          <w:highlight w:val="none"/>
        </w:rPr>
        <w:t>平台</w:t>
      </w:r>
      <w:r>
        <w:rPr>
          <w:rFonts w:hint="eastAsia" w:ascii="宋体" w:hAnsi="宋体" w:eastAsia="宋体" w:cs="Times New Roman"/>
          <w:color w:val="auto"/>
          <w:sz w:val="24"/>
          <w:highlight w:val="none"/>
        </w:rPr>
        <w:t>系统</w:t>
      </w:r>
      <w:r>
        <w:rPr>
          <w:rFonts w:ascii="宋体" w:hAnsi="宋体" w:eastAsia="宋体" w:cs="Times New Roman"/>
          <w:color w:val="auto"/>
          <w:sz w:val="24"/>
          <w:highlight w:val="none"/>
        </w:rPr>
        <w:t>应用或数据库出现错误，不能进行正常操作的；</w:t>
      </w:r>
      <w:r>
        <w:rPr>
          <w:rFonts w:hint="eastAsia" w:asciiTheme="minorEastAsia" w:hAnsiTheme="minorEastAsia"/>
          <w:color w:val="auto"/>
          <w:sz w:val="24"/>
          <w:highlight w:val="none"/>
        </w:rPr>
        <w:t>3）</w:t>
      </w:r>
      <w:r>
        <w:rPr>
          <w:rFonts w:ascii="宋体" w:hAnsi="宋体" w:eastAsia="宋体" w:cs="Times New Roman"/>
          <w:color w:val="auto"/>
          <w:sz w:val="24"/>
          <w:highlight w:val="none"/>
        </w:rPr>
        <w:t>平台</w:t>
      </w:r>
      <w:r>
        <w:rPr>
          <w:rFonts w:hint="eastAsia" w:ascii="宋体" w:hAnsi="宋体" w:eastAsia="宋体" w:cs="Times New Roman"/>
          <w:color w:val="auto"/>
          <w:sz w:val="24"/>
          <w:highlight w:val="none"/>
        </w:rPr>
        <w:t>系统</w:t>
      </w:r>
      <w:r>
        <w:rPr>
          <w:rFonts w:ascii="宋体" w:hAnsi="宋体" w:eastAsia="宋体" w:cs="Times New Roman"/>
          <w:color w:val="auto"/>
          <w:sz w:val="24"/>
          <w:highlight w:val="none"/>
        </w:rPr>
        <w:t>发现严重安全漏洞，有潜在泄密危险的；</w:t>
      </w:r>
      <w:r>
        <w:rPr>
          <w:rFonts w:hint="eastAsia" w:asciiTheme="minorEastAsia" w:hAnsiTheme="minorEastAsia"/>
          <w:color w:val="auto"/>
          <w:sz w:val="24"/>
          <w:highlight w:val="none"/>
        </w:rPr>
        <w:t>4）</w:t>
      </w:r>
      <w:r>
        <w:rPr>
          <w:rFonts w:ascii="宋体" w:hAnsi="宋体" w:eastAsia="宋体" w:cs="Times New Roman"/>
          <w:color w:val="auto"/>
          <w:sz w:val="24"/>
          <w:highlight w:val="none"/>
        </w:rPr>
        <w:t>病毒发作导致平台</w:t>
      </w:r>
      <w:r>
        <w:rPr>
          <w:rFonts w:hint="eastAsia" w:ascii="宋体" w:hAnsi="宋体" w:eastAsia="宋体" w:cs="Times New Roman"/>
          <w:color w:val="auto"/>
          <w:sz w:val="24"/>
          <w:highlight w:val="none"/>
        </w:rPr>
        <w:t>系统</w:t>
      </w:r>
      <w:r>
        <w:rPr>
          <w:rFonts w:ascii="宋体" w:hAnsi="宋体" w:eastAsia="宋体" w:cs="Times New Roman"/>
          <w:color w:val="auto"/>
          <w:sz w:val="24"/>
          <w:highlight w:val="none"/>
        </w:rPr>
        <w:t>不能进行正常操作的；</w:t>
      </w:r>
      <w:r>
        <w:rPr>
          <w:rFonts w:hint="eastAsia" w:asciiTheme="minorEastAsia" w:hAnsiTheme="minorEastAsia"/>
          <w:color w:val="auto"/>
          <w:sz w:val="24"/>
          <w:highlight w:val="none"/>
        </w:rPr>
        <w:t>5）</w:t>
      </w:r>
      <w:r>
        <w:rPr>
          <w:rFonts w:ascii="宋体" w:hAnsi="宋体" w:eastAsia="宋体" w:cs="Times New Roman"/>
          <w:color w:val="auto"/>
          <w:sz w:val="24"/>
          <w:highlight w:val="none"/>
        </w:rPr>
        <w:t>其他无法保证</w:t>
      </w:r>
      <w:r>
        <w:rPr>
          <w:rFonts w:hint="eastAsia" w:ascii="宋体" w:hAnsi="宋体" w:eastAsia="宋体" w:cs="Times New Roman"/>
          <w:color w:val="auto"/>
          <w:sz w:val="24"/>
          <w:highlight w:val="none"/>
        </w:rPr>
        <w:t>本次采购活动</w:t>
      </w:r>
      <w:r>
        <w:rPr>
          <w:rFonts w:ascii="宋体" w:hAnsi="宋体" w:eastAsia="宋体" w:cs="Times New Roman"/>
          <w:color w:val="auto"/>
          <w:sz w:val="24"/>
          <w:highlight w:val="none"/>
        </w:rPr>
        <w:t>的公平、公正和安全的情况。出现</w:t>
      </w:r>
      <w:r>
        <w:rPr>
          <w:rFonts w:hint="eastAsia" w:ascii="宋体" w:hAnsi="宋体" w:eastAsia="宋体" w:cs="Times New Roman"/>
          <w:color w:val="auto"/>
          <w:sz w:val="24"/>
          <w:highlight w:val="none"/>
        </w:rPr>
        <w:t>上述</w:t>
      </w:r>
      <w:r>
        <w:rPr>
          <w:rFonts w:ascii="宋体" w:hAnsi="宋体" w:eastAsia="宋体" w:cs="Times New Roman"/>
          <w:color w:val="auto"/>
          <w:sz w:val="24"/>
          <w:highlight w:val="none"/>
        </w:rPr>
        <w:t>情形，不影响采购</w:t>
      </w:r>
      <w:r>
        <w:rPr>
          <w:rFonts w:hint="eastAsia" w:ascii="宋体" w:hAnsi="宋体" w:eastAsia="宋体" w:cs="Times New Roman"/>
          <w:color w:val="auto"/>
          <w:sz w:val="24"/>
          <w:highlight w:val="none"/>
        </w:rPr>
        <w:t>活动</w:t>
      </w:r>
      <w:r>
        <w:rPr>
          <w:rFonts w:ascii="宋体" w:hAnsi="宋体" w:eastAsia="宋体" w:cs="Times New Roman"/>
          <w:color w:val="auto"/>
          <w:sz w:val="24"/>
          <w:highlight w:val="none"/>
        </w:rPr>
        <w:t>公平、公正性的，</w:t>
      </w:r>
      <w:r>
        <w:rPr>
          <w:rFonts w:hint="eastAsia" w:ascii="宋体" w:hAnsi="宋体" w:eastAsia="宋体" w:cs="Times New Roman"/>
          <w:color w:val="auto"/>
          <w:sz w:val="24"/>
          <w:highlight w:val="none"/>
        </w:rPr>
        <w:t>代理机构</w:t>
      </w:r>
      <w:r>
        <w:rPr>
          <w:rFonts w:ascii="宋体" w:hAnsi="宋体" w:eastAsia="宋体" w:cs="Times New Roman"/>
          <w:color w:val="auto"/>
          <w:sz w:val="24"/>
          <w:highlight w:val="none"/>
        </w:rPr>
        <w:t>可以待上述情形消除后继续组织</w:t>
      </w:r>
      <w:r>
        <w:rPr>
          <w:rFonts w:hint="eastAsia" w:ascii="宋体" w:hAnsi="宋体" w:eastAsia="宋体" w:cs="Times New Roman"/>
          <w:color w:val="auto"/>
          <w:sz w:val="24"/>
          <w:highlight w:val="none"/>
        </w:rPr>
        <w:t>不见面</w:t>
      </w:r>
      <w:r>
        <w:rPr>
          <w:rFonts w:ascii="宋体" w:hAnsi="宋体" w:eastAsia="宋体" w:cs="Times New Roman"/>
          <w:color w:val="auto"/>
          <w:sz w:val="24"/>
          <w:highlight w:val="none"/>
        </w:rPr>
        <w:t>交易</w:t>
      </w:r>
      <w:r>
        <w:rPr>
          <w:rFonts w:hint="eastAsia" w:ascii="宋体" w:hAnsi="宋体" w:eastAsia="宋体" w:cs="Times New Roman"/>
          <w:color w:val="auto"/>
          <w:sz w:val="24"/>
          <w:highlight w:val="none"/>
        </w:rPr>
        <w:t>采购</w:t>
      </w:r>
      <w:r>
        <w:rPr>
          <w:rFonts w:ascii="宋体" w:hAnsi="宋体" w:eastAsia="宋体" w:cs="Times New Roman"/>
          <w:color w:val="auto"/>
          <w:sz w:val="24"/>
          <w:highlight w:val="none"/>
        </w:rPr>
        <w:t>活动，也可以决定某些环节以纸质形式进行；影响或可能影响采购</w:t>
      </w:r>
      <w:r>
        <w:rPr>
          <w:rFonts w:hint="eastAsia" w:ascii="宋体" w:hAnsi="宋体" w:eastAsia="宋体" w:cs="Times New Roman"/>
          <w:color w:val="auto"/>
          <w:sz w:val="24"/>
          <w:highlight w:val="none"/>
        </w:rPr>
        <w:t>活动</w:t>
      </w:r>
      <w:r>
        <w:rPr>
          <w:rFonts w:ascii="宋体" w:hAnsi="宋体" w:eastAsia="宋体" w:cs="Times New Roman"/>
          <w:color w:val="auto"/>
          <w:sz w:val="24"/>
          <w:highlight w:val="none"/>
        </w:rPr>
        <w:t>公平、公正性的，应当</w:t>
      </w:r>
      <w:r>
        <w:rPr>
          <w:rFonts w:hint="eastAsia" w:ascii="宋体" w:hAnsi="宋体" w:eastAsia="宋体" w:cs="Times New Roman"/>
          <w:color w:val="auto"/>
          <w:sz w:val="24"/>
          <w:highlight w:val="none"/>
        </w:rPr>
        <w:t>终止本次项目，</w:t>
      </w:r>
      <w:r>
        <w:rPr>
          <w:rFonts w:ascii="宋体" w:hAnsi="宋体" w:eastAsia="宋体" w:cs="Times New Roman"/>
          <w:color w:val="auto"/>
          <w:sz w:val="24"/>
          <w:highlight w:val="none"/>
        </w:rPr>
        <w:t>重新</w:t>
      </w:r>
      <w:r>
        <w:rPr>
          <w:rFonts w:hint="eastAsia" w:ascii="宋体" w:hAnsi="宋体" w:eastAsia="宋体" w:cs="Times New Roman"/>
          <w:color w:val="auto"/>
          <w:sz w:val="24"/>
          <w:highlight w:val="none"/>
        </w:rPr>
        <w:t>组织</w:t>
      </w:r>
      <w:r>
        <w:rPr>
          <w:rFonts w:ascii="宋体" w:hAnsi="宋体" w:eastAsia="宋体" w:cs="Times New Roman"/>
          <w:color w:val="auto"/>
          <w:sz w:val="24"/>
          <w:highlight w:val="none"/>
        </w:rPr>
        <w:t>采购。</w:t>
      </w:r>
    </w:p>
    <w:p w14:paraId="76FC9A6B">
      <w:pPr>
        <w:pStyle w:val="34"/>
        <w:numPr>
          <w:ilvl w:val="0"/>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磋商小组</w:t>
      </w:r>
    </w:p>
    <w:p w14:paraId="2D1C0A4D">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磋商小组根据政府采购有关规定和本次采购项目的特点进行组建，并负责具体评审事务，独立履行职责</w:t>
      </w:r>
      <w:r>
        <w:rPr>
          <w:rFonts w:hint="eastAsia" w:asciiTheme="minorEastAsia" w:hAnsiTheme="minorEastAsia"/>
          <w:color w:val="auto"/>
          <w:sz w:val="24"/>
          <w:highlight w:val="none"/>
        </w:rPr>
        <w:t>。</w:t>
      </w:r>
    </w:p>
    <w:p w14:paraId="0D7AB04C">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评审专家须符合</w:t>
      </w:r>
      <w:r>
        <w:rPr>
          <w:rFonts w:hint="eastAsia" w:ascii="宋体" w:hAnsi="宋体" w:eastAsia="宋体" w:cs="Times New Roman"/>
          <w:color w:val="auto"/>
          <w:sz w:val="24"/>
          <w:highlight w:val="none"/>
        </w:rPr>
        <w:t>相关</w:t>
      </w:r>
      <w:r>
        <w:rPr>
          <w:rFonts w:ascii="宋体" w:hAnsi="宋体" w:eastAsia="宋体" w:cs="Times New Roman"/>
          <w:color w:val="auto"/>
          <w:sz w:val="24"/>
          <w:highlight w:val="none"/>
        </w:rPr>
        <w:t>规定。依法自行选定评审专家的，采购人和采购代理机构将查询有关信用记录，对具有行贿、受贿、欺诈等不良信用记录的人员，拒绝其参与政府采购活动</w:t>
      </w:r>
      <w:r>
        <w:rPr>
          <w:rFonts w:hint="eastAsia" w:asciiTheme="minorEastAsia" w:hAnsiTheme="minorEastAsia"/>
          <w:color w:val="auto"/>
          <w:sz w:val="24"/>
          <w:highlight w:val="none"/>
        </w:rPr>
        <w:t>。</w:t>
      </w:r>
    </w:p>
    <w:p w14:paraId="09D7F19A">
      <w:pPr>
        <w:pStyle w:val="34"/>
        <w:numPr>
          <w:ilvl w:val="0"/>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评审方法和评审标准</w:t>
      </w:r>
    </w:p>
    <w:p w14:paraId="76C85132">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见第三章《评审方法和评审标准》</w:t>
      </w:r>
      <w:r>
        <w:rPr>
          <w:rFonts w:hint="eastAsia" w:asciiTheme="minorEastAsia" w:hAnsiTheme="minorEastAsia"/>
          <w:color w:val="auto"/>
          <w:sz w:val="24"/>
          <w:highlight w:val="none"/>
        </w:rPr>
        <w:t>。</w:t>
      </w:r>
    </w:p>
    <w:p w14:paraId="7C98B4AF">
      <w:pPr>
        <w:pStyle w:val="34"/>
        <w:numPr>
          <w:ilvl w:val="1"/>
          <w:numId w:val="2"/>
        </w:numPr>
        <w:spacing w:line="360" w:lineRule="auto"/>
        <w:ind w:firstLineChars="0"/>
        <w:jc w:val="left"/>
        <w:rPr>
          <w:rFonts w:asciiTheme="minorEastAsia" w:hAnsiTheme="minorEastAsia"/>
          <w:color w:val="auto"/>
          <w:sz w:val="24"/>
          <w:highlight w:val="none"/>
        </w:rPr>
      </w:pPr>
      <w:r>
        <w:rPr>
          <w:rFonts w:hint="eastAsia" w:asciiTheme="minorEastAsia" w:hAnsiTheme="minorEastAsia"/>
          <w:color w:val="auto"/>
          <w:sz w:val="24"/>
          <w:highlight w:val="none"/>
        </w:rPr>
        <w:t>评审内容的保密</w:t>
      </w:r>
    </w:p>
    <w:p w14:paraId="213A2622">
      <w:pPr>
        <w:pStyle w:val="34"/>
        <w:numPr>
          <w:ilvl w:val="2"/>
          <w:numId w:val="2"/>
        </w:numPr>
        <w:spacing w:line="360" w:lineRule="auto"/>
        <w:ind w:firstLineChars="0"/>
        <w:jc w:val="left"/>
        <w:rPr>
          <w:rFonts w:asciiTheme="minorEastAsia" w:hAnsiTheme="minorEastAsia"/>
          <w:color w:val="auto"/>
          <w:sz w:val="24"/>
          <w:highlight w:val="none"/>
        </w:rPr>
      </w:pPr>
      <w:r>
        <w:rPr>
          <w:rFonts w:hint="eastAsia" w:asciiTheme="minorEastAsia" w:hAnsiTheme="minorEastAsia"/>
          <w:color w:val="auto"/>
          <w:sz w:val="24"/>
          <w:highlight w:val="none"/>
        </w:rPr>
        <w:t>磋商开始后，直到宣布授予成交供应商合同为止，凡属于审查、澄清、评价和比较响应文件的所有资料，有关授予合同的信息都不应向供应商或与评审无关的其他人泄露。</w:t>
      </w:r>
    </w:p>
    <w:p w14:paraId="335C705D">
      <w:pPr>
        <w:pStyle w:val="34"/>
        <w:numPr>
          <w:ilvl w:val="2"/>
          <w:numId w:val="2"/>
        </w:numPr>
        <w:spacing w:line="360" w:lineRule="auto"/>
        <w:ind w:firstLineChars="0"/>
        <w:jc w:val="left"/>
        <w:rPr>
          <w:rFonts w:asciiTheme="minorEastAsia" w:hAnsiTheme="minorEastAsia"/>
          <w:color w:val="auto"/>
          <w:sz w:val="24"/>
          <w:highlight w:val="none"/>
        </w:rPr>
      </w:pPr>
      <w:r>
        <w:rPr>
          <w:rFonts w:hint="eastAsia" w:asciiTheme="minorEastAsia" w:hAnsiTheme="minorEastAsia"/>
          <w:color w:val="auto"/>
          <w:sz w:val="24"/>
          <w:highlight w:val="none"/>
        </w:rPr>
        <w:t>在评审过程中，供应商不得以任何行为影响评审过程，否则其响应文件将被作为无效响应文件。</w:t>
      </w:r>
    </w:p>
    <w:p w14:paraId="099AD86B">
      <w:pPr>
        <w:pStyle w:val="34"/>
        <w:numPr>
          <w:ilvl w:val="2"/>
          <w:numId w:val="2"/>
        </w:numPr>
        <w:spacing w:line="360" w:lineRule="auto"/>
        <w:ind w:firstLineChars="0"/>
        <w:jc w:val="left"/>
        <w:rPr>
          <w:rFonts w:asciiTheme="minorEastAsia" w:hAnsiTheme="minorEastAsia"/>
          <w:color w:val="auto"/>
          <w:sz w:val="24"/>
          <w:highlight w:val="none"/>
        </w:rPr>
      </w:pPr>
      <w:r>
        <w:rPr>
          <w:rFonts w:hint="eastAsia" w:asciiTheme="minorEastAsia" w:hAnsiTheme="minorEastAsia"/>
          <w:color w:val="auto"/>
          <w:sz w:val="24"/>
          <w:highlight w:val="none"/>
        </w:rPr>
        <w:t>磋商小组不向未成交的供应商解释未成交原因，也不公布评审过程中的相关细节。</w:t>
      </w:r>
    </w:p>
    <w:p w14:paraId="1CD3AC98">
      <w:pPr>
        <w:spacing w:line="360" w:lineRule="auto"/>
        <w:jc w:val="left"/>
        <w:rPr>
          <w:rFonts w:asciiTheme="minorEastAsia" w:hAnsiTheme="minorEastAsia"/>
          <w:b/>
          <w:color w:val="auto"/>
          <w:sz w:val="28"/>
          <w:szCs w:val="28"/>
          <w:highlight w:val="none"/>
        </w:rPr>
      </w:pPr>
      <w:bookmarkStart w:id="349" w:name="_Toc520356169"/>
      <w:bookmarkStart w:id="350" w:name="_Toc265228383"/>
      <w:bookmarkStart w:id="351" w:name="_Toc226309789"/>
      <w:bookmarkStart w:id="352" w:name="_Toc226965735"/>
      <w:bookmarkStart w:id="353" w:name="_Toc151193787"/>
      <w:bookmarkStart w:id="354" w:name="_Toc151193643"/>
      <w:bookmarkStart w:id="355" w:name="_Toc151193859"/>
      <w:bookmarkStart w:id="356" w:name="_Toc195842910"/>
      <w:bookmarkStart w:id="357" w:name="_Toc150774645"/>
      <w:bookmarkStart w:id="358" w:name="_Toc151193933"/>
      <w:bookmarkStart w:id="359" w:name="_Toc150480783"/>
      <w:bookmarkStart w:id="360" w:name="_Toc151190172"/>
      <w:bookmarkStart w:id="361" w:name="_Toc305158813"/>
      <w:bookmarkStart w:id="362" w:name="_Toc305158887"/>
      <w:bookmarkStart w:id="363" w:name="_Toc150774750"/>
      <w:bookmarkStart w:id="364" w:name="_Toc226337241"/>
      <w:bookmarkStart w:id="365" w:name="_Toc264969235"/>
      <w:bookmarkStart w:id="366" w:name="_Toc150509296"/>
      <w:bookmarkStart w:id="367" w:name="_Toc127151545"/>
      <w:bookmarkStart w:id="368" w:name="_Toc151193715"/>
      <w:bookmarkStart w:id="369" w:name="_Toc226965818"/>
      <w:bookmarkStart w:id="370" w:name="_Toc142311047"/>
      <w:r>
        <w:rPr>
          <w:rFonts w:asciiTheme="minorEastAsia" w:hAnsiTheme="minorEastAsia"/>
          <w:b/>
          <w:color w:val="auto"/>
          <w:sz w:val="28"/>
          <w:szCs w:val="28"/>
          <w:highlight w:val="none"/>
        </w:rPr>
        <w:t>六</w:t>
      </w:r>
      <w:bookmarkEnd w:id="349"/>
      <w:r>
        <w:rPr>
          <w:rFonts w:hint="eastAsia" w:asciiTheme="minorEastAsia" w:hAnsiTheme="minorEastAsia"/>
          <w:b/>
          <w:color w:val="auto"/>
          <w:sz w:val="28"/>
          <w:szCs w:val="28"/>
          <w:highlight w:val="none"/>
        </w:rPr>
        <w:t>、</w:t>
      </w:r>
      <w:r>
        <w:rPr>
          <w:rFonts w:asciiTheme="minorEastAsia" w:hAnsiTheme="minorEastAsia"/>
          <w:b/>
          <w:color w:val="auto"/>
          <w:sz w:val="28"/>
          <w:szCs w:val="28"/>
          <w:highlight w:val="none"/>
        </w:rPr>
        <w:t>确定</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rFonts w:asciiTheme="minorEastAsia" w:hAnsiTheme="minorEastAsia"/>
          <w:b/>
          <w:color w:val="auto"/>
          <w:sz w:val="28"/>
          <w:szCs w:val="28"/>
          <w:highlight w:val="none"/>
        </w:rPr>
        <w:t>成交</w:t>
      </w:r>
    </w:p>
    <w:p w14:paraId="116748EB">
      <w:pPr>
        <w:pStyle w:val="34"/>
        <w:numPr>
          <w:ilvl w:val="0"/>
          <w:numId w:val="2"/>
        </w:numPr>
        <w:spacing w:line="360" w:lineRule="auto"/>
        <w:ind w:firstLineChars="0"/>
        <w:jc w:val="left"/>
        <w:rPr>
          <w:rFonts w:asciiTheme="minorEastAsia" w:hAnsiTheme="minorEastAsia"/>
          <w:color w:val="auto"/>
          <w:sz w:val="24"/>
          <w:highlight w:val="none"/>
        </w:rPr>
      </w:pPr>
      <w:bookmarkStart w:id="371" w:name="_Toc127161461"/>
      <w:bookmarkStart w:id="372" w:name="_Toc151193935"/>
      <w:bookmarkStart w:id="373" w:name="_Toc149720840"/>
      <w:bookmarkStart w:id="374" w:name="_Toc305158815"/>
      <w:bookmarkStart w:id="375" w:name="_Toc264969237"/>
      <w:bookmarkStart w:id="376" w:name="_Toc151193717"/>
      <w:bookmarkStart w:id="377" w:name="_Toc305158889"/>
      <w:bookmarkStart w:id="378" w:name="_Toc164608816"/>
      <w:bookmarkStart w:id="379" w:name="_Toc127151547"/>
      <w:bookmarkStart w:id="380" w:name="_Toc151193645"/>
      <w:bookmarkStart w:id="381" w:name="_Toc226965820"/>
      <w:bookmarkStart w:id="382" w:name="_Toc142311049"/>
      <w:bookmarkStart w:id="383" w:name="_Toc164351641"/>
      <w:bookmarkStart w:id="384" w:name="_Toc151190174"/>
      <w:bookmarkStart w:id="385" w:name="_Toc150480785"/>
      <w:bookmarkStart w:id="386" w:name="_Toc226965737"/>
      <w:bookmarkStart w:id="387" w:name="_Toc151193789"/>
      <w:bookmarkStart w:id="388" w:name="_Toc150774647"/>
      <w:bookmarkStart w:id="389" w:name="_Toc150774752"/>
      <w:bookmarkStart w:id="390" w:name="_Toc195842912"/>
      <w:bookmarkStart w:id="391" w:name="_Toc164229242"/>
      <w:bookmarkStart w:id="392" w:name="_Toc226337243"/>
      <w:bookmarkStart w:id="393" w:name="_Toc164608661"/>
      <w:bookmarkStart w:id="394" w:name="_Toc127151748"/>
      <w:bookmarkStart w:id="395" w:name="_Toc265228385"/>
      <w:bookmarkStart w:id="396" w:name="_Toc226309791"/>
      <w:bookmarkStart w:id="397" w:name="_Toc151193861"/>
      <w:bookmarkStart w:id="398" w:name="_Toc150509298"/>
      <w:bookmarkStart w:id="399" w:name="_Toc164229388"/>
      <w:r>
        <w:rPr>
          <w:rFonts w:asciiTheme="minorEastAsia" w:hAnsiTheme="minorEastAsia"/>
          <w:color w:val="auto"/>
          <w:sz w:val="24"/>
          <w:highlight w:val="none"/>
        </w:rPr>
        <w:t>确定成交供应商</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908D8FC">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采购人将在收到评审报告后，从评审报告提出的成交候选供应商中，按照排序由高到低的原则确定成交供应商</w:t>
      </w:r>
      <w:r>
        <w:rPr>
          <w:rFonts w:hint="eastAsia" w:ascii="宋体" w:hAnsi="宋体" w:eastAsia="宋体" w:cs="Times New Roman"/>
          <w:color w:val="auto"/>
          <w:sz w:val="24"/>
          <w:highlight w:val="none"/>
        </w:rPr>
        <w:t>。</w:t>
      </w:r>
      <w:r>
        <w:rPr>
          <w:rFonts w:ascii="宋体" w:hAnsi="宋体" w:eastAsia="宋体" w:cs="Times New Roman"/>
          <w:color w:val="auto"/>
          <w:sz w:val="24"/>
          <w:highlight w:val="none"/>
        </w:rPr>
        <w:t>成交候选人并列的，由采购人</w:t>
      </w:r>
      <w:r>
        <w:rPr>
          <w:rFonts w:hint="eastAsia" w:ascii="宋体" w:hAnsi="宋体" w:eastAsia="宋体" w:cs="Times New Roman"/>
          <w:color w:val="auto"/>
          <w:sz w:val="24"/>
          <w:highlight w:val="none"/>
        </w:rPr>
        <w:t>依法</w:t>
      </w:r>
      <w:r>
        <w:rPr>
          <w:rFonts w:ascii="宋体" w:hAnsi="宋体" w:eastAsia="宋体" w:cs="Times New Roman"/>
          <w:color w:val="auto"/>
          <w:sz w:val="24"/>
          <w:highlight w:val="none"/>
        </w:rPr>
        <w:t>确定</w:t>
      </w:r>
      <w:r>
        <w:rPr>
          <w:rFonts w:hint="eastAsia" w:asciiTheme="minorEastAsia" w:hAnsiTheme="minorEastAsia"/>
          <w:color w:val="auto"/>
          <w:sz w:val="24"/>
          <w:highlight w:val="none"/>
        </w:rPr>
        <w:t>。</w:t>
      </w:r>
    </w:p>
    <w:p w14:paraId="5D10B414">
      <w:pPr>
        <w:pStyle w:val="34"/>
        <w:numPr>
          <w:ilvl w:val="0"/>
          <w:numId w:val="2"/>
        </w:numPr>
        <w:spacing w:line="360" w:lineRule="auto"/>
        <w:ind w:firstLineChars="0"/>
        <w:jc w:val="left"/>
        <w:rPr>
          <w:rFonts w:asciiTheme="minorEastAsia" w:hAnsiTheme="minorEastAsia"/>
          <w:color w:val="auto"/>
          <w:sz w:val="24"/>
          <w:highlight w:val="none"/>
        </w:rPr>
      </w:pPr>
      <w:bookmarkStart w:id="400" w:name="_Toc305158891"/>
      <w:bookmarkStart w:id="401" w:name="_Toc305158817"/>
      <w:r>
        <w:rPr>
          <w:rFonts w:asciiTheme="minorEastAsia" w:hAnsiTheme="minorEastAsia"/>
          <w:color w:val="auto"/>
          <w:sz w:val="24"/>
          <w:highlight w:val="none"/>
        </w:rPr>
        <w:t>成交公告与成交通知书</w:t>
      </w:r>
      <w:bookmarkEnd w:id="400"/>
      <w:bookmarkEnd w:id="401"/>
    </w:p>
    <w:p w14:paraId="525F4A9F">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采购人或采购代理机构将</w:t>
      </w:r>
      <w:r>
        <w:rPr>
          <w:rFonts w:ascii="宋体" w:hAnsi="宋体" w:eastAsia="宋体" w:cs="Times New Roman"/>
          <w:color w:val="auto"/>
          <w:kern w:val="0"/>
          <w:sz w:val="24"/>
          <w:highlight w:val="none"/>
        </w:rPr>
        <w:t>在成交供应商确定后2个工作日内，在</w:t>
      </w:r>
      <w:r>
        <w:rPr>
          <w:rFonts w:hint="eastAsia" w:ascii="宋体" w:hAnsi="宋体" w:eastAsia="宋体" w:cs="Times New Roman"/>
          <w:color w:val="auto"/>
          <w:sz w:val="24"/>
          <w:highlight w:val="none"/>
        </w:rPr>
        <w:t>常州市政府采购网</w:t>
      </w:r>
      <w:r>
        <w:rPr>
          <w:rFonts w:ascii="宋体" w:hAnsi="宋体" w:eastAsia="宋体" w:cs="Times New Roman"/>
          <w:color w:val="auto"/>
          <w:kern w:val="0"/>
          <w:sz w:val="24"/>
          <w:highlight w:val="none"/>
        </w:rPr>
        <w:t>公告成交结果，同时向成交供应商发出成交通知书，</w:t>
      </w:r>
      <w:r>
        <w:rPr>
          <w:rFonts w:ascii="宋体" w:hAnsi="宋体" w:eastAsia="宋体" w:cs="Times New Roman"/>
          <w:color w:val="auto"/>
          <w:sz w:val="24"/>
          <w:highlight w:val="none"/>
        </w:rPr>
        <w:t>成交公告期限为1个工作日。</w:t>
      </w:r>
    </w:p>
    <w:p w14:paraId="5F7D8C94">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asciiTheme="minorEastAsia" w:hAnsiTheme="minorEastAsia"/>
          <w:color w:val="auto"/>
          <w:sz w:val="24"/>
          <w:highlight w:val="none"/>
        </w:rPr>
        <w:t>。</w:t>
      </w:r>
    </w:p>
    <w:p w14:paraId="7BC3E223">
      <w:pPr>
        <w:pStyle w:val="34"/>
        <w:numPr>
          <w:ilvl w:val="0"/>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终止</w:t>
      </w:r>
    </w:p>
    <w:p w14:paraId="08E4F931">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在采购中，出现下列情形之一的，采购人或采购代理机构将终止竞争性磋商采购活动，发布项目终止公告并说明原因，重新开展采购活动</w:t>
      </w:r>
      <w:r>
        <w:rPr>
          <w:rFonts w:hint="eastAsia" w:asciiTheme="minorEastAsia" w:hAnsiTheme="minorEastAsia"/>
          <w:color w:val="auto"/>
          <w:sz w:val="24"/>
          <w:highlight w:val="none"/>
        </w:rPr>
        <w:t>：</w:t>
      </w:r>
    </w:p>
    <w:p w14:paraId="67F44E44">
      <w:pPr>
        <w:pStyle w:val="34"/>
        <w:numPr>
          <w:ilvl w:val="2"/>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因情况变化，不再符合规定的竞争性磋商</w:t>
      </w:r>
      <w:r>
        <w:rPr>
          <w:rFonts w:hint="eastAsia" w:asciiTheme="minorEastAsia" w:hAnsiTheme="minorEastAsia"/>
          <w:color w:val="auto"/>
          <w:sz w:val="24"/>
          <w:highlight w:val="none"/>
        </w:rPr>
        <w:t>采购方式</w:t>
      </w:r>
      <w:r>
        <w:rPr>
          <w:rFonts w:asciiTheme="minorEastAsia" w:hAnsiTheme="minorEastAsia"/>
          <w:color w:val="auto"/>
          <w:sz w:val="24"/>
          <w:highlight w:val="none"/>
        </w:rPr>
        <w:t>适用情形的</w:t>
      </w:r>
      <w:r>
        <w:rPr>
          <w:rFonts w:hint="eastAsia" w:asciiTheme="minorEastAsia" w:hAnsiTheme="minorEastAsia"/>
          <w:color w:val="auto"/>
          <w:sz w:val="24"/>
          <w:highlight w:val="none"/>
        </w:rPr>
        <w:t>；</w:t>
      </w:r>
    </w:p>
    <w:p w14:paraId="5E501A03">
      <w:pPr>
        <w:pStyle w:val="34"/>
        <w:numPr>
          <w:ilvl w:val="2"/>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出现影响采购公正的违法、违规行为的</w:t>
      </w:r>
      <w:r>
        <w:rPr>
          <w:rFonts w:hint="eastAsia" w:asciiTheme="minorEastAsia" w:hAnsiTheme="minorEastAsia"/>
          <w:color w:val="auto"/>
          <w:sz w:val="24"/>
          <w:highlight w:val="none"/>
        </w:rPr>
        <w:t>；</w:t>
      </w:r>
    </w:p>
    <w:p w14:paraId="2F6BABA9">
      <w:pPr>
        <w:pStyle w:val="34"/>
        <w:numPr>
          <w:ilvl w:val="2"/>
          <w:numId w:val="2"/>
        </w:numPr>
        <w:spacing w:line="360" w:lineRule="auto"/>
        <w:ind w:firstLineChars="0"/>
        <w:jc w:val="left"/>
        <w:rPr>
          <w:rFonts w:asciiTheme="minorEastAsia" w:hAnsiTheme="minorEastAsia"/>
          <w:color w:val="auto"/>
          <w:sz w:val="24"/>
          <w:highlight w:val="none"/>
        </w:rPr>
      </w:pPr>
      <w:r>
        <w:rPr>
          <w:rFonts w:asciiTheme="minorEastAsia" w:hAnsiTheme="minorEastAsia"/>
          <w:snapToGrid w:val="0"/>
          <w:color w:val="auto"/>
          <w:kern w:val="0"/>
          <w:sz w:val="24"/>
          <w:szCs w:val="20"/>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Theme="minorEastAsia" w:hAnsiTheme="minorEastAsia"/>
          <w:snapToGrid w:val="0"/>
          <w:color w:val="auto"/>
          <w:kern w:val="0"/>
          <w:sz w:val="24"/>
          <w:szCs w:val="20"/>
          <w:highlight w:val="none"/>
        </w:rPr>
        <w:t>。</w:t>
      </w:r>
    </w:p>
    <w:p w14:paraId="0CB8E56E">
      <w:pPr>
        <w:pStyle w:val="34"/>
        <w:numPr>
          <w:ilvl w:val="2"/>
          <w:numId w:val="2"/>
        </w:numPr>
        <w:spacing w:line="360" w:lineRule="auto"/>
        <w:ind w:firstLineChars="0"/>
        <w:jc w:val="left"/>
        <w:rPr>
          <w:rFonts w:asciiTheme="minorEastAsia" w:hAnsiTheme="minorEastAsia"/>
          <w:color w:val="auto"/>
          <w:sz w:val="24"/>
          <w:highlight w:val="none"/>
        </w:rPr>
      </w:pPr>
      <w:r>
        <w:rPr>
          <w:rFonts w:hint="eastAsia" w:ascii="宋体" w:hAnsi="宋体" w:eastAsia="宋体" w:cs="Times New Roman"/>
          <w:color w:val="auto"/>
          <w:spacing w:val="2"/>
          <w:sz w:val="24"/>
          <w:highlight w:val="none"/>
        </w:rPr>
        <w:t>平台系统</w:t>
      </w:r>
      <w:r>
        <w:rPr>
          <w:rFonts w:ascii="宋体" w:hAnsi="宋体" w:eastAsia="宋体" w:cs="Times New Roman"/>
          <w:color w:val="auto"/>
          <w:sz w:val="24"/>
          <w:highlight w:val="none"/>
        </w:rPr>
        <w:t>出现</w:t>
      </w:r>
      <w:r>
        <w:rPr>
          <w:rFonts w:hint="eastAsia" w:ascii="宋体" w:hAnsi="宋体" w:eastAsia="宋体" w:cs="Times New Roman"/>
          <w:color w:val="auto"/>
          <w:sz w:val="24"/>
          <w:highlight w:val="none"/>
        </w:rPr>
        <w:t>序号17.7的所述</w:t>
      </w:r>
      <w:r>
        <w:rPr>
          <w:rFonts w:ascii="宋体" w:hAnsi="宋体" w:eastAsia="宋体" w:cs="Times New Roman"/>
          <w:color w:val="auto"/>
          <w:sz w:val="24"/>
          <w:highlight w:val="none"/>
        </w:rPr>
        <w:t>情形，</w:t>
      </w:r>
      <w:r>
        <w:rPr>
          <w:rFonts w:hint="eastAsia" w:ascii="宋体" w:hAnsi="宋体" w:eastAsia="宋体" w:cs="Times New Roman"/>
          <w:color w:val="auto"/>
          <w:sz w:val="24"/>
          <w:highlight w:val="none"/>
        </w:rPr>
        <w:t>情况严重且</w:t>
      </w:r>
      <w:r>
        <w:rPr>
          <w:rFonts w:ascii="宋体" w:hAnsi="宋体" w:eastAsia="宋体" w:cs="Times New Roman"/>
          <w:color w:val="auto"/>
          <w:sz w:val="24"/>
          <w:highlight w:val="none"/>
        </w:rPr>
        <w:t>影响采购</w:t>
      </w:r>
      <w:r>
        <w:rPr>
          <w:rFonts w:hint="eastAsia" w:ascii="宋体" w:hAnsi="宋体" w:eastAsia="宋体" w:cs="Times New Roman"/>
          <w:color w:val="auto"/>
          <w:sz w:val="24"/>
          <w:highlight w:val="none"/>
        </w:rPr>
        <w:t>活动</w:t>
      </w:r>
      <w:r>
        <w:rPr>
          <w:rFonts w:ascii="宋体" w:hAnsi="宋体" w:eastAsia="宋体" w:cs="Times New Roman"/>
          <w:color w:val="auto"/>
          <w:sz w:val="24"/>
          <w:highlight w:val="none"/>
        </w:rPr>
        <w:t>公平、公正性的</w:t>
      </w:r>
      <w:r>
        <w:rPr>
          <w:rFonts w:hint="eastAsia" w:asciiTheme="minorEastAsia" w:hAnsiTheme="minorEastAsia"/>
          <w:color w:val="auto"/>
          <w:sz w:val="24"/>
          <w:highlight w:val="none"/>
        </w:rPr>
        <w:t>。</w:t>
      </w:r>
    </w:p>
    <w:p w14:paraId="484BBCD9">
      <w:pPr>
        <w:pStyle w:val="34"/>
        <w:numPr>
          <w:ilvl w:val="0"/>
          <w:numId w:val="2"/>
        </w:numPr>
        <w:spacing w:line="360" w:lineRule="auto"/>
        <w:ind w:firstLineChars="0"/>
        <w:jc w:val="left"/>
        <w:rPr>
          <w:rFonts w:asciiTheme="minorEastAsia" w:hAnsiTheme="minorEastAsia"/>
          <w:color w:val="auto"/>
          <w:sz w:val="24"/>
          <w:highlight w:val="none"/>
        </w:rPr>
      </w:pPr>
      <w:bookmarkStart w:id="402" w:name="_Toc265228388"/>
      <w:bookmarkStart w:id="403" w:name="_Toc151193720"/>
      <w:bookmarkStart w:id="404" w:name="_Toc150509301"/>
      <w:bookmarkStart w:id="405" w:name="_Toc151193792"/>
      <w:bookmarkStart w:id="406" w:name="_Toc305158892"/>
      <w:bookmarkStart w:id="407" w:name="_Toc151190177"/>
      <w:bookmarkStart w:id="408" w:name="_Ref467307062"/>
      <w:bookmarkStart w:id="409" w:name="_Toc226965823"/>
      <w:bookmarkStart w:id="410" w:name="_Toc151193648"/>
      <w:bookmarkStart w:id="411" w:name="_Ref467306978"/>
      <w:bookmarkStart w:id="412" w:name="_Toc164229391"/>
      <w:bookmarkStart w:id="413" w:name="_Toc520356175"/>
      <w:bookmarkStart w:id="414" w:name="_Toc226309794"/>
      <w:bookmarkStart w:id="415" w:name="_Toc164229245"/>
      <w:bookmarkStart w:id="416" w:name="_Toc127151751"/>
      <w:bookmarkStart w:id="417" w:name="_Toc164351644"/>
      <w:bookmarkStart w:id="418" w:name="_Toc164608664"/>
      <w:bookmarkStart w:id="419" w:name="_Toc127161464"/>
      <w:bookmarkStart w:id="420" w:name="_Toc150480788"/>
      <w:bookmarkStart w:id="421" w:name="_Toc150774650"/>
      <w:bookmarkStart w:id="422" w:name="_Toc305158818"/>
      <w:bookmarkStart w:id="423" w:name="_Toc226965740"/>
      <w:bookmarkStart w:id="424" w:name="_Toc149720843"/>
      <w:bookmarkStart w:id="425" w:name="_Toc150774755"/>
      <w:bookmarkStart w:id="426" w:name="_Toc151193938"/>
      <w:bookmarkStart w:id="427" w:name="_Toc142311052"/>
      <w:bookmarkStart w:id="428" w:name="_Ref467307204"/>
      <w:bookmarkStart w:id="429" w:name="_Toc164608819"/>
      <w:bookmarkStart w:id="430" w:name="_Ref467306377"/>
      <w:bookmarkStart w:id="431" w:name="_Toc195842915"/>
      <w:bookmarkStart w:id="432" w:name="_Toc264969240"/>
      <w:bookmarkStart w:id="433" w:name="_Toc226337246"/>
      <w:bookmarkStart w:id="434" w:name="_Toc127151550"/>
      <w:bookmarkStart w:id="435" w:name="_Toc151193864"/>
      <w:r>
        <w:rPr>
          <w:rFonts w:asciiTheme="minorEastAsia" w:hAnsiTheme="minorEastAsia"/>
          <w:color w:val="auto"/>
          <w:sz w:val="24"/>
          <w:highlight w:val="none"/>
        </w:rPr>
        <w:t>签订合同</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44F9C8B0">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r>
        <w:rPr>
          <w:rFonts w:hint="eastAsia" w:asciiTheme="minorEastAsia" w:hAnsiTheme="minorEastAsia"/>
          <w:color w:val="auto"/>
          <w:sz w:val="24"/>
          <w:highlight w:val="none"/>
        </w:rPr>
        <w:t>。</w:t>
      </w:r>
    </w:p>
    <w:p w14:paraId="0F1B17D1">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Theme="minorEastAsia" w:hAnsiTheme="minorEastAsia"/>
          <w:color w:val="auto"/>
          <w:sz w:val="24"/>
          <w:highlight w:val="none"/>
        </w:rPr>
        <w:t>。</w:t>
      </w:r>
    </w:p>
    <w:p w14:paraId="12C71E6C">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联合体获得成交资格的，联合体各方应当共同与采购人签订合同，就成交项目向采购人承担连带责任</w:t>
      </w:r>
      <w:r>
        <w:rPr>
          <w:rFonts w:hint="eastAsia" w:asciiTheme="minorEastAsia" w:hAnsiTheme="minorEastAsia"/>
          <w:color w:val="auto"/>
          <w:sz w:val="24"/>
          <w:highlight w:val="none"/>
        </w:rPr>
        <w:t>。</w:t>
      </w:r>
    </w:p>
    <w:p w14:paraId="017AF6AC">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政府采购合同不能转包</w:t>
      </w:r>
      <w:r>
        <w:rPr>
          <w:rFonts w:hint="eastAsia" w:asciiTheme="minorEastAsia" w:hAnsiTheme="minorEastAsia"/>
          <w:color w:val="auto"/>
          <w:sz w:val="24"/>
          <w:highlight w:val="none"/>
        </w:rPr>
        <w:t>。</w:t>
      </w:r>
    </w:p>
    <w:p w14:paraId="5B83D674">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采购人允许采用分包方式履行合同的，成交供应商可以依法采取分包方式履行合同。本项目</w:t>
      </w:r>
      <w:r>
        <w:rPr>
          <w:rFonts w:hint="eastAsia" w:ascii="宋体" w:hAnsi="宋体" w:eastAsia="宋体" w:cs="Times New Roman"/>
          <w:color w:val="auto"/>
          <w:sz w:val="24"/>
          <w:highlight w:val="none"/>
        </w:rPr>
        <w:t>是</w:t>
      </w:r>
      <w:r>
        <w:rPr>
          <w:rFonts w:ascii="宋体" w:hAnsi="宋体" w:eastAsia="宋体" w:cs="Times New Roman"/>
          <w:color w:val="auto"/>
          <w:sz w:val="24"/>
          <w:highlight w:val="none"/>
        </w:rPr>
        <w:t>否允许分包，见《供应商须知资料表》。政府采购合同分包履行的，应当在响应文件中载明分包承担主体，分包承担主体应当具备相应资质条件且不得再次分包，</w:t>
      </w:r>
      <w:r>
        <w:rPr>
          <w:rFonts w:ascii="宋体" w:hAnsi="宋体" w:eastAsia="宋体" w:cs="Times New Roman"/>
          <w:b/>
          <w:color w:val="auto"/>
          <w:sz w:val="24"/>
          <w:highlight w:val="none"/>
        </w:rPr>
        <w:t>否则响应无效</w:t>
      </w:r>
      <w:r>
        <w:rPr>
          <w:rFonts w:ascii="宋体" w:hAnsi="宋体" w:eastAsia="宋体" w:cs="Times New Roman"/>
          <w:color w:val="auto"/>
          <w:sz w:val="24"/>
          <w:highlight w:val="none"/>
        </w:rPr>
        <w:t>。成交供应商就采购项目和分包项目向采购人负责，分包供应商就分包项目承担责任</w:t>
      </w:r>
      <w:r>
        <w:rPr>
          <w:rFonts w:hint="eastAsia" w:asciiTheme="minorEastAsia" w:hAnsiTheme="minorEastAsia"/>
          <w:color w:val="auto"/>
          <w:sz w:val="24"/>
          <w:highlight w:val="none"/>
        </w:rPr>
        <w:t>。</w:t>
      </w:r>
    </w:p>
    <w:p w14:paraId="36FFAB45">
      <w:pPr>
        <w:pStyle w:val="34"/>
        <w:numPr>
          <w:ilvl w:val="0"/>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询问与质疑</w:t>
      </w:r>
    </w:p>
    <w:p w14:paraId="1B4C0E8A">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询问</w:t>
      </w:r>
    </w:p>
    <w:p w14:paraId="7FD342AF">
      <w:pPr>
        <w:pStyle w:val="34"/>
        <w:numPr>
          <w:ilvl w:val="2"/>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供应商对政府采购活动事项有疑问的，可依法提出询问，并按《供应商须知资料表》载明的形式送达采购人或采购代理机构</w:t>
      </w:r>
      <w:r>
        <w:rPr>
          <w:rFonts w:hint="eastAsia" w:asciiTheme="minorEastAsia" w:hAnsiTheme="minorEastAsia"/>
          <w:color w:val="auto"/>
          <w:sz w:val="24"/>
          <w:highlight w:val="none"/>
        </w:rPr>
        <w:t>。</w:t>
      </w:r>
    </w:p>
    <w:p w14:paraId="5A2A7827">
      <w:pPr>
        <w:pStyle w:val="34"/>
        <w:numPr>
          <w:ilvl w:val="2"/>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采购人或采购代理机构对供应商依法提出的询问，在3个工作日内作出答复，但答复的内容不得涉及商业秘密</w:t>
      </w:r>
      <w:r>
        <w:rPr>
          <w:rFonts w:hint="eastAsia" w:asciiTheme="minorEastAsia" w:hAnsiTheme="minorEastAsia"/>
          <w:color w:val="auto"/>
          <w:sz w:val="24"/>
          <w:highlight w:val="none"/>
        </w:rPr>
        <w:t>。</w:t>
      </w:r>
    </w:p>
    <w:p w14:paraId="5BB1BE19">
      <w:pPr>
        <w:pStyle w:val="34"/>
        <w:numPr>
          <w:ilvl w:val="1"/>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质疑</w:t>
      </w:r>
    </w:p>
    <w:p w14:paraId="312864ED">
      <w:pPr>
        <w:pStyle w:val="34"/>
        <w:numPr>
          <w:ilvl w:val="2"/>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Theme="minorEastAsia" w:hAnsiTheme="minorEastAsia"/>
          <w:color w:val="auto"/>
          <w:sz w:val="24"/>
          <w:highlight w:val="none"/>
        </w:rPr>
        <w:t>。</w:t>
      </w:r>
    </w:p>
    <w:p w14:paraId="2C240F53">
      <w:pPr>
        <w:pStyle w:val="34"/>
        <w:numPr>
          <w:ilvl w:val="2"/>
          <w:numId w:val="2"/>
        </w:numPr>
        <w:spacing w:line="360" w:lineRule="auto"/>
        <w:ind w:firstLineChars="0"/>
        <w:jc w:val="left"/>
        <w:rPr>
          <w:rFonts w:asciiTheme="minorEastAsia" w:hAnsiTheme="minorEastAsia"/>
          <w:color w:val="auto"/>
          <w:sz w:val="24"/>
          <w:highlight w:val="none"/>
        </w:rPr>
      </w:pPr>
      <w:r>
        <w:rPr>
          <w:rFonts w:hint="eastAsia" w:ascii="宋体" w:hAnsi="宋体" w:eastAsia="宋体" w:cs="Times New Roman"/>
          <w:b/>
          <w:color w:val="auto"/>
          <w:sz w:val="24"/>
          <w:highlight w:val="none"/>
        </w:rPr>
        <w:t>磋商文件中采购需求以及相关部分（第四章、第五章以及供应商资格要求）由采购人负责制定和管理，对该部分内容有询问或者质疑的，供应商应当向采购人书面提出，由采购人负责接收和回复</w:t>
      </w:r>
      <w:r>
        <w:rPr>
          <w:rFonts w:hint="eastAsia" w:asciiTheme="minorEastAsia" w:hAnsiTheme="minorEastAsia"/>
          <w:b/>
          <w:color w:val="auto"/>
          <w:sz w:val="24"/>
          <w:highlight w:val="none"/>
        </w:rPr>
        <w:t>。</w:t>
      </w:r>
      <w:r>
        <w:rPr>
          <w:rFonts w:hint="eastAsia" w:ascii="宋体" w:hAnsi="宋体" w:eastAsia="宋体" w:cs="宋体"/>
          <w:b/>
          <w:color w:val="auto"/>
          <w:sz w:val="24"/>
          <w:highlight w:val="none"/>
        </w:rPr>
        <w:t>采购人委托采购代理机构采购的，采购代理机构在委托授权范围内作出答复。</w:t>
      </w:r>
    </w:p>
    <w:p w14:paraId="5439AEE7">
      <w:pPr>
        <w:pStyle w:val="34"/>
        <w:numPr>
          <w:ilvl w:val="2"/>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质疑函须使用财政部制定的范本文件。</w:t>
      </w:r>
      <w:r>
        <w:rPr>
          <w:rFonts w:hint="eastAsia" w:asciiTheme="minorEastAsia" w:hAnsiTheme="minorEastAsia"/>
          <w:color w:val="auto"/>
          <w:sz w:val="24"/>
          <w:highlight w:val="none"/>
        </w:rPr>
        <w:t>（下载网址：</w:t>
      </w:r>
      <w:r>
        <w:rPr>
          <w:rFonts w:asciiTheme="minorEastAsia" w:hAnsiTheme="minorEastAsia"/>
          <w:color w:val="auto"/>
          <w:highlight w:val="none"/>
        </w:rPr>
        <w:t>http://gk</w:t>
      </w:r>
      <w:bookmarkStart w:id="436" w:name="_Hlt100654014"/>
      <w:r>
        <w:rPr>
          <w:rFonts w:asciiTheme="minorEastAsia" w:hAnsiTheme="minorEastAsia"/>
          <w:color w:val="auto"/>
          <w:highlight w:val="none"/>
        </w:rPr>
        <w:t>s</w:t>
      </w:r>
      <w:bookmarkEnd w:id="436"/>
      <w:r>
        <w:rPr>
          <w:rFonts w:asciiTheme="minorEastAsia" w:hAnsiTheme="minorEastAsia"/>
          <w:color w:val="auto"/>
          <w:highlight w:val="none"/>
        </w:rPr>
        <w:t>.m</w:t>
      </w:r>
      <w:bookmarkStart w:id="437" w:name="_Hlt100653994"/>
      <w:bookmarkStart w:id="438" w:name="_Hlt100653993"/>
      <w:r>
        <w:rPr>
          <w:rFonts w:asciiTheme="minorEastAsia" w:hAnsiTheme="minorEastAsia"/>
          <w:color w:val="auto"/>
          <w:highlight w:val="none"/>
        </w:rPr>
        <w:t>o</w:t>
      </w:r>
      <w:bookmarkEnd w:id="437"/>
      <w:bookmarkEnd w:id="438"/>
      <w:bookmarkStart w:id="439" w:name="_Hlt101169156"/>
      <w:r>
        <w:rPr>
          <w:rFonts w:asciiTheme="minorEastAsia" w:hAnsiTheme="minorEastAsia"/>
          <w:color w:val="auto"/>
          <w:highlight w:val="none"/>
        </w:rPr>
        <w:t>f</w:t>
      </w:r>
      <w:bookmarkEnd w:id="439"/>
      <w:r>
        <w:rPr>
          <w:rFonts w:asciiTheme="minorEastAsia" w:hAnsiTheme="minorEastAsia"/>
          <w:color w:val="auto"/>
          <w:highlight w:val="none"/>
        </w:rPr>
        <w:t>.gov.cn/ztztz/zhengfucaigouguanli/201802/t20180201_2804589.htm</w:t>
      </w:r>
      <w:r>
        <w:rPr>
          <w:rFonts w:hint="eastAsia" w:asciiTheme="minorEastAsia" w:hAnsiTheme="minorEastAsia"/>
          <w:color w:val="auto"/>
          <w:highlight w:val="none"/>
        </w:rPr>
        <w:t>）。</w:t>
      </w:r>
    </w:p>
    <w:p w14:paraId="34B4AC1D">
      <w:pPr>
        <w:pStyle w:val="34"/>
        <w:numPr>
          <w:ilvl w:val="2"/>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供应商为自然人的，应当由本人签字；供应商为法人或者其他组织的，应当由法定代表人、主要负责人，或者其授权代表签字或者盖章，并加盖公章</w:t>
      </w:r>
      <w:r>
        <w:rPr>
          <w:rFonts w:hint="eastAsia" w:asciiTheme="minorEastAsia" w:hAnsiTheme="minorEastAsia"/>
          <w:color w:val="auto"/>
          <w:sz w:val="24"/>
          <w:highlight w:val="none"/>
        </w:rPr>
        <w:t>。</w:t>
      </w:r>
    </w:p>
    <w:p w14:paraId="7CC76E6F">
      <w:pPr>
        <w:pStyle w:val="34"/>
        <w:numPr>
          <w:ilvl w:val="2"/>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供应商应在法定质疑期内一次性提出针对同一采购程序环节的质疑，法定质疑期内针对同一采购程序环节再次提出的质疑，采购人、采购代理机构有权不予答复</w:t>
      </w:r>
      <w:r>
        <w:rPr>
          <w:rFonts w:hint="eastAsia" w:asciiTheme="minorEastAsia" w:hAnsiTheme="minorEastAsia"/>
          <w:color w:val="auto"/>
          <w:sz w:val="24"/>
          <w:highlight w:val="none"/>
        </w:rPr>
        <w:t>。</w:t>
      </w:r>
    </w:p>
    <w:p w14:paraId="629B4D00">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接收询问和质疑的联系部门、联系电话和通讯地址见《供应商须知资料表》</w:t>
      </w:r>
      <w:r>
        <w:rPr>
          <w:rFonts w:hint="eastAsia" w:asciiTheme="minorEastAsia" w:hAnsiTheme="minorEastAsia"/>
          <w:color w:val="auto"/>
          <w:sz w:val="24"/>
          <w:highlight w:val="none"/>
        </w:rPr>
        <w:t>。</w:t>
      </w:r>
    </w:p>
    <w:p w14:paraId="19DF3146">
      <w:pPr>
        <w:pStyle w:val="34"/>
        <w:numPr>
          <w:ilvl w:val="0"/>
          <w:numId w:val="2"/>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代理费</w:t>
      </w:r>
    </w:p>
    <w:p w14:paraId="541EDACD">
      <w:pPr>
        <w:pStyle w:val="34"/>
        <w:numPr>
          <w:ilvl w:val="1"/>
          <w:numId w:val="2"/>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收费对象、收费标准及缴纳时间见《供应商须知资料表》。由成交供应商支付的，成交供应商须一次性向采购代理机构缴纳代理费，报价应包含代理费用</w:t>
      </w:r>
      <w:r>
        <w:rPr>
          <w:rFonts w:hint="eastAsia" w:asciiTheme="minorEastAsia" w:hAnsiTheme="minorEastAsia"/>
          <w:color w:val="auto"/>
          <w:sz w:val="24"/>
          <w:highlight w:val="none"/>
        </w:rPr>
        <w:t>。</w:t>
      </w:r>
    </w:p>
    <w:p w14:paraId="7352D266">
      <w:pPr>
        <w:pStyle w:val="34"/>
        <w:numPr>
          <w:ilvl w:val="0"/>
          <w:numId w:val="2"/>
        </w:numPr>
        <w:spacing w:line="360" w:lineRule="auto"/>
        <w:ind w:firstLineChars="0"/>
        <w:jc w:val="left"/>
        <w:rPr>
          <w:rFonts w:asciiTheme="minorEastAsia" w:hAnsiTheme="minorEastAsia"/>
          <w:color w:val="auto"/>
          <w:sz w:val="24"/>
          <w:highlight w:val="none"/>
        </w:rPr>
      </w:pPr>
      <w:r>
        <w:rPr>
          <w:rFonts w:hint="eastAsia" w:asciiTheme="minorEastAsia" w:hAnsiTheme="minorEastAsia"/>
          <w:color w:val="auto"/>
          <w:sz w:val="24"/>
          <w:highlight w:val="none"/>
        </w:rPr>
        <w:t>履约保证金</w:t>
      </w:r>
    </w:p>
    <w:p w14:paraId="7BBCDB3B">
      <w:pPr>
        <w:pStyle w:val="34"/>
        <w:numPr>
          <w:ilvl w:val="1"/>
          <w:numId w:val="2"/>
        </w:numPr>
        <w:spacing w:line="360" w:lineRule="auto"/>
        <w:ind w:firstLineChars="0"/>
        <w:jc w:val="left"/>
        <w:rPr>
          <w:rFonts w:asciiTheme="minorEastAsia" w:hAnsiTheme="minorEastAsia"/>
          <w:color w:val="auto"/>
          <w:sz w:val="24"/>
          <w:highlight w:val="none"/>
        </w:rPr>
      </w:pPr>
      <w:r>
        <w:rPr>
          <w:rFonts w:hint="eastAsia" w:asciiTheme="minorEastAsia" w:hAnsiTheme="minorEastAsia"/>
          <w:color w:val="auto"/>
          <w:sz w:val="24"/>
          <w:highlight w:val="none"/>
        </w:rPr>
        <w:t>本项目免收履约保证金。</w:t>
      </w:r>
    </w:p>
    <w:p w14:paraId="79CA9E21">
      <w:pPr>
        <w:pStyle w:val="34"/>
        <w:numPr>
          <w:ilvl w:val="0"/>
          <w:numId w:val="2"/>
        </w:numPr>
        <w:spacing w:line="360" w:lineRule="auto"/>
        <w:ind w:firstLineChars="0"/>
        <w:jc w:val="left"/>
        <w:rPr>
          <w:rFonts w:asciiTheme="minorEastAsia" w:hAnsiTheme="minorEastAsia"/>
          <w:color w:val="auto"/>
          <w:sz w:val="24"/>
          <w:highlight w:val="none"/>
        </w:rPr>
      </w:pPr>
      <w:r>
        <w:rPr>
          <w:rFonts w:hint="eastAsia" w:asciiTheme="minorEastAsia" w:hAnsiTheme="minorEastAsia"/>
          <w:color w:val="auto"/>
          <w:sz w:val="24"/>
          <w:highlight w:val="none"/>
        </w:rPr>
        <w:t>纸质响应文件</w:t>
      </w:r>
    </w:p>
    <w:p w14:paraId="3B7E64F8">
      <w:pPr>
        <w:pStyle w:val="34"/>
        <w:numPr>
          <w:ilvl w:val="1"/>
          <w:numId w:val="2"/>
        </w:numPr>
        <w:spacing w:line="360" w:lineRule="auto"/>
        <w:ind w:firstLineChars="0"/>
        <w:jc w:val="left"/>
        <w:rPr>
          <w:rFonts w:asciiTheme="minorEastAsia" w:hAnsiTheme="minorEastAsia"/>
          <w:color w:val="auto"/>
          <w:sz w:val="24"/>
          <w:highlight w:val="none"/>
        </w:rPr>
      </w:pPr>
      <w:r>
        <w:rPr>
          <w:rFonts w:hint="eastAsia" w:ascii="宋体" w:hAnsi="宋体"/>
          <w:color w:val="auto"/>
          <w:sz w:val="24"/>
          <w:highlight w:val="none"/>
        </w:rPr>
        <w:t>成交供应商</w:t>
      </w:r>
      <w:r>
        <w:rPr>
          <w:rFonts w:hint="eastAsia" w:ascii="宋体" w:hAnsi="宋体" w:eastAsia="宋体" w:cs="Times New Roman"/>
          <w:color w:val="auto"/>
          <w:sz w:val="24"/>
          <w:highlight w:val="none"/>
        </w:rPr>
        <w:t>在签订合同前向代理机构</w:t>
      </w:r>
      <w:r>
        <w:rPr>
          <w:rFonts w:ascii="宋体" w:hAnsi="宋体" w:eastAsia="宋体" w:cs="Times New Roman"/>
          <w:color w:val="auto"/>
          <w:sz w:val="24"/>
          <w:highlight w:val="none"/>
        </w:rPr>
        <w:t>提供</w:t>
      </w:r>
      <w:r>
        <w:rPr>
          <w:rFonts w:ascii="宋体" w:hAnsi="宋体" w:eastAsia="宋体" w:cs="Times New Roman"/>
          <w:b/>
          <w:bCs/>
          <w:color w:val="auto"/>
          <w:sz w:val="24"/>
          <w:highlight w:val="none"/>
        </w:rPr>
        <w:t>正本1套</w:t>
      </w:r>
      <w:r>
        <w:rPr>
          <w:rFonts w:hint="eastAsia" w:ascii="宋体" w:hAnsi="宋体" w:eastAsia="宋体" w:cs="Times New Roman"/>
          <w:b/>
          <w:bCs/>
          <w:color w:val="auto"/>
          <w:sz w:val="24"/>
          <w:highlight w:val="none"/>
        </w:rPr>
        <w:t>纸质</w:t>
      </w:r>
      <w:r>
        <w:rPr>
          <w:rFonts w:hint="eastAsia" w:ascii="宋体" w:hAnsi="宋体"/>
          <w:b/>
          <w:bCs/>
          <w:color w:val="auto"/>
          <w:sz w:val="24"/>
          <w:highlight w:val="none"/>
        </w:rPr>
        <w:t>响应</w:t>
      </w:r>
      <w:r>
        <w:rPr>
          <w:rFonts w:ascii="宋体" w:hAnsi="宋体" w:eastAsia="宋体" w:cs="Times New Roman"/>
          <w:b/>
          <w:bCs/>
          <w:color w:val="auto"/>
          <w:sz w:val="24"/>
          <w:highlight w:val="none"/>
        </w:rPr>
        <w:t>文件</w:t>
      </w:r>
      <w:r>
        <w:rPr>
          <w:rFonts w:hint="eastAsia" w:ascii="宋体" w:hAnsi="宋体" w:eastAsia="宋体" w:cs="Times New Roman"/>
          <w:b/>
          <w:bCs/>
          <w:color w:val="auto"/>
          <w:sz w:val="24"/>
          <w:highlight w:val="none"/>
        </w:rPr>
        <w:t>。</w:t>
      </w:r>
    </w:p>
    <w:p w14:paraId="60301194">
      <w:pPr>
        <w:pStyle w:val="34"/>
        <w:numPr>
          <w:ilvl w:val="1"/>
          <w:numId w:val="2"/>
        </w:numPr>
        <w:spacing w:line="360" w:lineRule="auto"/>
        <w:ind w:firstLineChars="0"/>
        <w:jc w:val="left"/>
        <w:rPr>
          <w:rFonts w:asciiTheme="minorEastAsia" w:hAnsiTheme="minorEastAsia"/>
          <w:color w:val="auto"/>
          <w:sz w:val="24"/>
          <w:highlight w:val="none"/>
        </w:rPr>
      </w:pPr>
      <w:r>
        <w:rPr>
          <w:rFonts w:hint="eastAsia" w:ascii="宋体" w:hAnsi="宋体" w:eastAsia="宋体" w:cs="Times New Roman"/>
          <w:color w:val="auto"/>
          <w:sz w:val="24"/>
          <w:highlight w:val="none"/>
        </w:rPr>
        <w:t>纸质</w:t>
      </w:r>
      <w:r>
        <w:rPr>
          <w:rFonts w:hint="eastAsia" w:ascii="宋体" w:hAnsi="宋体"/>
          <w:color w:val="auto"/>
          <w:sz w:val="24"/>
          <w:highlight w:val="none"/>
        </w:rPr>
        <w:t>响应</w:t>
      </w:r>
      <w:r>
        <w:rPr>
          <w:rFonts w:hint="eastAsia" w:ascii="宋体" w:hAnsi="宋体" w:eastAsia="宋体" w:cs="Times New Roman"/>
          <w:color w:val="auto"/>
          <w:sz w:val="24"/>
          <w:highlight w:val="none"/>
        </w:rPr>
        <w:t>文件需与政府采购系统的</w:t>
      </w:r>
      <w:r>
        <w:rPr>
          <w:rFonts w:hint="eastAsia" w:ascii="宋体" w:hAnsi="宋体"/>
          <w:color w:val="auto"/>
          <w:sz w:val="24"/>
          <w:highlight w:val="none"/>
        </w:rPr>
        <w:t>响应</w:t>
      </w:r>
      <w:r>
        <w:rPr>
          <w:rFonts w:hint="eastAsia" w:ascii="宋体" w:hAnsi="宋体" w:eastAsia="宋体" w:cs="Times New Roman"/>
          <w:color w:val="auto"/>
          <w:sz w:val="24"/>
          <w:highlight w:val="none"/>
        </w:rPr>
        <w:t>文件一致，</w:t>
      </w:r>
      <w:r>
        <w:rPr>
          <w:rFonts w:hint="eastAsia" w:ascii="宋体" w:hAnsi="宋体"/>
          <w:color w:val="auto"/>
          <w:sz w:val="24"/>
          <w:highlight w:val="none"/>
        </w:rPr>
        <w:t>成交供应商</w:t>
      </w:r>
      <w:r>
        <w:rPr>
          <w:rFonts w:hint="eastAsia" w:ascii="宋体" w:hAnsi="宋体" w:eastAsia="宋体" w:cs="Times New Roman"/>
          <w:color w:val="auto"/>
          <w:sz w:val="24"/>
          <w:highlight w:val="none"/>
        </w:rPr>
        <w:t>应按照要求签字、盖章。</w:t>
      </w:r>
    </w:p>
    <w:p w14:paraId="56F9E123">
      <w:pPr>
        <w:pStyle w:val="34"/>
        <w:numPr>
          <w:ilvl w:val="1"/>
          <w:numId w:val="2"/>
        </w:numPr>
        <w:spacing w:line="360" w:lineRule="auto"/>
        <w:ind w:firstLineChars="0"/>
        <w:jc w:val="left"/>
        <w:rPr>
          <w:rFonts w:asciiTheme="minorEastAsia" w:hAnsiTheme="minorEastAsia"/>
          <w:color w:val="auto"/>
          <w:sz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color w:val="auto"/>
          <w:sz w:val="24"/>
          <w:highlight w:val="none"/>
        </w:rPr>
        <w:t>响应</w:t>
      </w:r>
      <w:r>
        <w:rPr>
          <w:rFonts w:hint="eastAsia" w:ascii="宋体" w:hAnsi="宋体" w:eastAsia="宋体" w:cs="Times New Roman"/>
          <w:color w:val="auto"/>
          <w:sz w:val="24"/>
          <w:highlight w:val="none"/>
        </w:rPr>
        <w:t>文件所表述（指定）的公章是指法定名称章，不包括合同专用章、业务专用章等印章；盖章是指加盖鲜章。</w:t>
      </w:r>
    </w:p>
    <w:p w14:paraId="3C256E85">
      <w:pPr>
        <w:pStyle w:val="2"/>
        <w:rPr>
          <w:rFonts w:asciiTheme="minorEastAsia" w:hAnsiTheme="minorEastAsia"/>
          <w:color w:val="auto"/>
          <w:highlight w:val="none"/>
        </w:rPr>
      </w:pPr>
      <w:bookmarkStart w:id="440" w:name="_Toc13127"/>
      <w:bookmarkStart w:id="441" w:name="_Toc104818927"/>
      <w:r>
        <w:rPr>
          <w:rFonts w:asciiTheme="minorEastAsia" w:hAnsiTheme="minorEastAsia"/>
          <w:color w:val="auto"/>
          <w:highlight w:val="none"/>
        </w:rPr>
        <w:t>第三章</w:t>
      </w:r>
      <w:r>
        <w:rPr>
          <w:rFonts w:hint="eastAsia" w:asciiTheme="minorEastAsia" w:hAnsiTheme="minorEastAsia"/>
          <w:color w:val="auto"/>
          <w:highlight w:val="none"/>
        </w:rPr>
        <w:t xml:space="preserve"> </w:t>
      </w:r>
      <w:r>
        <w:rPr>
          <w:rFonts w:asciiTheme="minorEastAsia" w:hAnsiTheme="minorEastAsia"/>
          <w:color w:val="auto"/>
          <w:highlight w:val="none"/>
        </w:rPr>
        <w:t>评审</w:t>
      </w:r>
      <w:r>
        <w:rPr>
          <w:rFonts w:hint="eastAsia" w:asciiTheme="minorEastAsia" w:hAnsiTheme="minorEastAsia"/>
          <w:color w:val="auto"/>
          <w:highlight w:val="none"/>
        </w:rPr>
        <w:t>程序、评审</w:t>
      </w:r>
      <w:r>
        <w:rPr>
          <w:rFonts w:asciiTheme="minorEastAsia" w:hAnsiTheme="minorEastAsia"/>
          <w:color w:val="auto"/>
          <w:highlight w:val="none"/>
        </w:rPr>
        <w:t>方法和评审标准</w:t>
      </w:r>
      <w:bookmarkEnd w:id="440"/>
      <w:bookmarkEnd w:id="441"/>
    </w:p>
    <w:p w14:paraId="43745C4A">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一</w:t>
      </w:r>
      <w:r>
        <w:rPr>
          <w:rFonts w:hint="eastAsia" w:asciiTheme="minorEastAsia" w:hAnsiTheme="minorEastAsia"/>
          <w:b/>
          <w:color w:val="auto"/>
          <w:sz w:val="28"/>
          <w:szCs w:val="28"/>
          <w:highlight w:val="none"/>
        </w:rPr>
        <w:t>、</w:t>
      </w:r>
      <w:r>
        <w:rPr>
          <w:rFonts w:asciiTheme="minorEastAsia" w:hAnsiTheme="minorEastAsia"/>
          <w:b/>
          <w:color w:val="auto"/>
          <w:sz w:val="28"/>
          <w:szCs w:val="28"/>
          <w:highlight w:val="none"/>
        </w:rPr>
        <w:t>评审程序</w:t>
      </w:r>
    </w:p>
    <w:p w14:paraId="485FA9B6">
      <w:pPr>
        <w:pStyle w:val="34"/>
        <w:numPr>
          <w:ilvl w:val="0"/>
          <w:numId w:val="3"/>
        </w:numPr>
        <w:spacing w:line="360" w:lineRule="auto"/>
        <w:ind w:firstLineChars="0"/>
        <w:jc w:val="left"/>
        <w:rPr>
          <w:rFonts w:asciiTheme="minorEastAsia" w:hAnsiTheme="minorEastAsia"/>
          <w:color w:val="auto"/>
          <w:sz w:val="24"/>
          <w:highlight w:val="none"/>
        </w:rPr>
      </w:pPr>
      <w:bookmarkStart w:id="442" w:name="_Toc264969231"/>
      <w:bookmarkStart w:id="443" w:name="_Toc195842906"/>
      <w:bookmarkStart w:id="444" w:name="_Toc127161455"/>
      <w:bookmarkStart w:id="445" w:name="_Toc127151541"/>
      <w:bookmarkStart w:id="446" w:name="_Toc151193783"/>
      <w:bookmarkStart w:id="447" w:name="_Toc127151742"/>
      <w:bookmarkStart w:id="448" w:name="_Toc150480779"/>
      <w:bookmarkStart w:id="449" w:name="_Toc164608655"/>
      <w:bookmarkStart w:id="450" w:name="_Toc164229236"/>
      <w:bookmarkStart w:id="451" w:name="_Toc226309785"/>
      <w:bookmarkStart w:id="452" w:name="_Toc151193855"/>
      <w:bookmarkStart w:id="453" w:name="_Toc265228379"/>
      <w:bookmarkStart w:id="454" w:name="_Toc151193929"/>
      <w:bookmarkStart w:id="455" w:name="_Toc226337237"/>
      <w:bookmarkStart w:id="456" w:name="_Toc164608810"/>
      <w:bookmarkStart w:id="457" w:name="_Toc305158883"/>
      <w:bookmarkStart w:id="458" w:name="_Toc226965814"/>
      <w:bookmarkStart w:id="459" w:name="_Toc164229382"/>
      <w:bookmarkStart w:id="460" w:name="_Toc226965731"/>
      <w:bookmarkStart w:id="461" w:name="_Toc151190168"/>
      <w:bookmarkStart w:id="462" w:name="_Toc150509292"/>
      <w:bookmarkStart w:id="463" w:name="_Toc305158809"/>
      <w:bookmarkStart w:id="464" w:name="_Toc151193711"/>
      <w:bookmarkStart w:id="465" w:name="_Toc164351635"/>
      <w:bookmarkStart w:id="466" w:name="_Toc150774641"/>
      <w:bookmarkStart w:id="467" w:name="_Toc142311043"/>
      <w:bookmarkStart w:id="468" w:name="_Toc150774746"/>
      <w:bookmarkStart w:id="469" w:name="_Toc151193639"/>
      <w:bookmarkStart w:id="470" w:name="_Toc149720834"/>
      <w:r>
        <w:rPr>
          <w:rFonts w:asciiTheme="minorEastAsia" w:hAnsiTheme="minorEastAsia"/>
          <w:color w:val="auto"/>
          <w:sz w:val="24"/>
          <w:highlight w:val="none"/>
        </w:rPr>
        <w:t>响应文件的</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Pr>
          <w:rFonts w:asciiTheme="minorEastAsia" w:hAnsiTheme="minorEastAsia"/>
          <w:color w:val="auto"/>
          <w:sz w:val="24"/>
          <w:highlight w:val="none"/>
        </w:rPr>
        <w:t>资格性检查和符合性审查</w:t>
      </w:r>
    </w:p>
    <w:p w14:paraId="0E207CFC">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asciiTheme="minorEastAsia" w:hAnsiTheme="minorEastAsia"/>
          <w:b/>
          <w:color w:val="auto"/>
          <w:sz w:val="24"/>
          <w:highlight w:val="none"/>
        </w:rPr>
        <w:t>无效响应</w:t>
      </w:r>
      <w:r>
        <w:rPr>
          <w:rFonts w:asciiTheme="minorEastAsia" w:hAnsiTheme="minorEastAsia"/>
          <w:color w:val="auto"/>
          <w:sz w:val="24"/>
          <w:highlight w:val="none"/>
        </w:rPr>
        <w:t>处理，磋商小组应当告知提交响应文件的供应商</w:t>
      </w:r>
      <w:r>
        <w:rPr>
          <w:rFonts w:hint="eastAsia" w:asciiTheme="minorEastAsia" w:hAnsiTheme="minorEastAsia"/>
          <w:color w:val="auto"/>
          <w:sz w:val="24"/>
          <w:highlight w:val="none"/>
        </w:rPr>
        <w:t>。</w:t>
      </w:r>
    </w:p>
    <w:p w14:paraId="5181437B">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《资格性检查要求》中对格式有要求的，除竞争性磋商文件另有规定外，均为“实质性格式”文件</w:t>
      </w:r>
      <w:r>
        <w:rPr>
          <w:rFonts w:hint="eastAsia" w:asciiTheme="minorEastAsia" w:hAnsiTheme="minorEastAsia"/>
          <w:color w:val="auto"/>
          <w:sz w:val="24"/>
          <w:highlight w:val="none"/>
        </w:rPr>
        <w:t>。</w:t>
      </w:r>
    </w:p>
    <w:p w14:paraId="02B34073">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《资格性检查要求》见下表</w:t>
      </w:r>
      <w:r>
        <w:rPr>
          <w:rFonts w:hint="eastAsia" w:asciiTheme="minorEastAsia" w:hAnsiTheme="minorEastAsia"/>
          <w:color w:val="auto"/>
          <w:sz w:val="24"/>
          <w:highlight w:val="none"/>
        </w:rPr>
        <w:t>：</w:t>
      </w:r>
    </w:p>
    <w:p w14:paraId="1238E12C">
      <w:pPr>
        <w:spacing w:line="360" w:lineRule="auto"/>
        <w:jc w:val="left"/>
        <w:rPr>
          <w:rFonts w:asciiTheme="minorEastAsia" w:hAnsiTheme="minorEastAsia"/>
          <w:b/>
          <w:color w:val="auto"/>
          <w:szCs w:val="21"/>
          <w:highlight w:val="none"/>
        </w:rPr>
      </w:pPr>
      <w:r>
        <w:rPr>
          <w:rFonts w:asciiTheme="minorEastAsia" w:hAnsiTheme="minorEastAsia"/>
          <w:b/>
          <w:color w:val="auto"/>
          <w:szCs w:val="21"/>
          <w:highlight w:val="none"/>
        </w:rPr>
        <w:t>资格性检查要求</w:t>
      </w:r>
    </w:p>
    <w:tbl>
      <w:tblPr>
        <w:tblStyle w:val="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0"/>
        <w:gridCol w:w="2020"/>
        <w:gridCol w:w="4205"/>
        <w:gridCol w:w="1657"/>
      </w:tblGrid>
      <w:tr w14:paraId="4DC72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tblHeader/>
          <w:jc w:val="center"/>
        </w:trPr>
        <w:tc>
          <w:tcPr>
            <w:tcW w:w="375" w:type="pct"/>
            <w:vAlign w:val="center"/>
          </w:tcPr>
          <w:p w14:paraId="7C38706F">
            <w:pPr>
              <w:jc w:val="left"/>
              <w:rPr>
                <w:rFonts w:asciiTheme="minorEastAsia" w:hAnsiTheme="minorEastAsia"/>
                <w:color w:val="auto"/>
                <w:szCs w:val="21"/>
                <w:highlight w:val="none"/>
              </w:rPr>
            </w:pPr>
            <w:bookmarkStart w:id="471" w:name="_Hlt487972895"/>
            <w:bookmarkEnd w:id="471"/>
            <w:r>
              <w:rPr>
                <w:rFonts w:asciiTheme="minorEastAsia" w:hAnsiTheme="minorEastAsia"/>
                <w:color w:val="auto"/>
                <w:szCs w:val="21"/>
                <w:highlight w:val="none"/>
              </w:rPr>
              <w:t>序号</w:t>
            </w:r>
          </w:p>
        </w:tc>
        <w:tc>
          <w:tcPr>
            <w:tcW w:w="1185" w:type="pct"/>
            <w:vAlign w:val="center"/>
          </w:tcPr>
          <w:p w14:paraId="6A0A677B">
            <w:pPr>
              <w:jc w:val="left"/>
              <w:rPr>
                <w:rFonts w:asciiTheme="minorEastAsia" w:hAnsiTheme="minorEastAsia"/>
                <w:color w:val="auto"/>
                <w:szCs w:val="21"/>
                <w:highlight w:val="none"/>
              </w:rPr>
            </w:pPr>
            <w:r>
              <w:rPr>
                <w:rFonts w:asciiTheme="minorEastAsia" w:hAnsiTheme="minorEastAsia"/>
                <w:color w:val="auto"/>
                <w:szCs w:val="21"/>
                <w:highlight w:val="none"/>
              </w:rPr>
              <w:t>审查因素</w:t>
            </w:r>
          </w:p>
        </w:tc>
        <w:tc>
          <w:tcPr>
            <w:tcW w:w="2466" w:type="pct"/>
            <w:vAlign w:val="center"/>
          </w:tcPr>
          <w:p w14:paraId="41A3C25E">
            <w:pPr>
              <w:jc w:val="left"/>
              <w:rPr>
                <w:rFonts w:asciiTheme="minorEastAsia" w:hAnsiTheme="minorEastAsia"/>
                <w:color w:val="auto"/>
                <w:szCs w:val="21"/>
                <w:highlight w:val="none"/>
              </w:rPr>
            </w:pPr>
            <w:r>
              <w:rPr>
                <w:rFonts w:asciiTheme="minorEastAsia" w:hAnsiTheme="minorEastAsia"/>
                <w:color w:val="auto"/>
                <w:szCs w:val="21"/>
                <w:highlight w:val="none"/>
              </w:rPr>
              <w:t>审查内容</w:t>
            </w:r>
          </w:p>
        </w:tc>
        <w:tc>
          <w:tcPr>
            <w:tcW w:w="972" w:type="pct"/>
            <w:vAlign w:val="center"/>
          </w:tcPr>
          <w:p w14:paraId="2D9DB04E">
            <w:pPr>
              <w:jc w:val="left"/>
              <w:rPr>
                <w:rFonts w:asciiTheme="minorEastAsia" w:hAnsiTheme="minorEastAsia"/>
                <w:color w:val="auto"/>
                <w:szCs w:val="21"/>
                <w:highlight w:val="none"/>
              </w:rPr>
            </w:pPr>
            <w:r>
              <w:rPr>
                <w:rFonts w:asciiTheme="minorEastAsia" w:hAnsiTheme="minorEastAsia"/>
                <w:color w:val="auto"/>
                <w:szCs w:val="21"/>
                <w:highlight w:val="none"/>
              </w:rPr>
              <w:t>格式要求</w:t>
            </w:r>
          </w:p>
        </w:tc>
      </w:tr>
      <w:tr w14:paraId="34BB3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75" w:type="pct"/>
            <w:vAlign w:val="center"/>
          </w:tcPr>
          <w:p w14:paraId="3FDEDCF6">
            <w:pPr>
              <w:jc w:val="left"/>
              <w:rPr>
                <w:rFonts w:asciiTheme="minorEastAsia" w:hAnsiTheme="minorEastAsia"/>
                <w:color w:val="auto"/>
                <w:szCs w:val="21"/>
                <w:highlight w:val="none"/>
              </w:rPr>
            </w:pPr>
            <w:r>
              <w:rPr>
                <w:rFonts w:asciiTheme="minorEastAsia" w:hAnsiTheme="minorEastAsia"/>
                <w:color w:val="auto"/>
                <w:szCs w:val="21"/>
                <w:highlight w:val="none"/>
              </w:rPr>
              <w:t>1</w:t>
            </w:r>
          </w:p>
        </w:tc>
        <w:tc>
          <w:tcPr>
            <w:tcW w:w="1185" w:type="pct"/>
            <w:vAlign w:val="center"/>
          </w:tcPr>
          <w:p w14:paraId="6465430E">
            <w:pPr>
              <w:jc w:val="left"/>
              <w:rPr>
                <w:rFonts w:asciiTheme="minorEastAsia" w:hAnsiTheme="minorEastAsia"/>
                <w:color w:val="auto"/>
                <w:szCs w:val="21"/>
                <w:highlight w:val="none"/>
              </w:rPr>
            </w:pPr>
            <w:r>
              <w:rPr>
                <w:rFonts w:asciiTheme="minorEastAsia" w:hAnsiTheme="minorEastAsia"/>
                <w:color w:val="auto"/>
                <w:szCs w:val="21"/>
                <w:highlight w:val="none"/>
              </w:rPr>
              <w:t>满足《中华人民共和国政府采购法》第二十二条规定及法律法规的其他规定</w:t>
            </w:r>
          </w:p>
        </w:tc>
        <w:tc>
          <w:tcPr>
            <w:tcW w:w="2466" w:type="pct"/>
            <w:vAlign w:val="center"/>
          </w:tcPr>
          <w:p w14:paraId="350A6291">
            <w:pPr>
              <w:ind w:firstLine="420" w:firstLineChars="200"/>
              <w:jc w:val="left"/>
              <w:rPr>
                <w:rFonts w:asciiTheme="minorEastAsia" w:hAnsiTheme="minorEastAsia"/>
                <w:color w:val="auto"/>
                <w:szCs w:val="21"/>
                <w:highlight w:val="none"/>
              </w:rPr>
            </w:pPr>
            <w:r>
              <w:rPr>
                <w:rFonts w:asciiTheme="minorEastAsia" w:hAnsiTheme="minorEastAsia"/>
                <w:color w:val="auto"/>
                <w:szCs w:val="21"/>
                <w:highlight w:val="none"/>
              </w:rPr>
              <w:t>具体规定见第一章《采购邀请》</w:t>
            </w:r>
          </w:p>
        </w:tc>
        <w:tc>
          <w:tcPr>
            <w:tcW w:w="972" w:type="pct"/>
            <w:vAlign w:val="center"/>
          </w:tcPr>
          <w:p w14:paraId="16D659CF">
            <w:pPr>
              <w:jc w:val="left"/>
              <w:rPr>
                <w:rFonts w:asciiTheme="minorEastAsia" w:hAnsiTheme="minorEastAsia"/>
                <w:color w:val="auto"/>
                <w:szCs w:val="21"/>
                <w:highlight w:val="none"/>
              </w:rPr>
            </w:pPr>
          </w:p>
        </w:tc>
      </w:tr>
      <w:tr w14:paraId="369AB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375" w:type="pct"/>
            <w:vAlign w:val="center"/>
          </w:tcPr>
          <w:p w14:paraId="500A3D9A">
            <w:pPr>
              <w:jc w:val="left"/>
              <w:rPr>
                <w:rFonts w:asciiTheme="minorEastAsia" w:hAnsiTheme="minorEastAsia"/>
                <w:color w:val="auto"/>
                <w:szCs w:val="21"/>
                <w:highlight w:val="none"/>
              </w:rPr>
            </w:pPr>
            <w:r>
              <w:rPr>
                <w:rFonts w:asciiTheme="minorEastAsia" w:hAnsiTheme="minorEastAsia"/>
                <w:color w:val="auto"/>
                <w:szCs w:val="21"/>
                <w:highlight w:val="none"/>
              </w:rPr>
              <w:t>1-1</w:t>
            </w:r>
          </w:p>
        </w:tc>
        <w:tc>
          <w:tcPr>
            <w:tcW w:w="1185" w:type="pct"/>
            <w:vAlign w:val="center"/>
          </w:tcPr>
          <w:p w14:paraId="52BA2BA7">
            <w:pPr>
              <w:jc w:val="left"/>
              <w:rPr>
                <w:rFonts w:asciiTheme="minorEastAsia" w:hAnsiTheme="minorEastAsia"/>
                <w:color w:val="auto"/>
                <w:szCs w:val="21"/>
                <w:highlight w:val="none"/>
              </w:rPr>
            </w:pPr>
            <w:r>
              <w:rPr>
                <w:rFonts w:hint="eastAsia" w:asciiTheme="minorEastAsia" w:hAnsiTheme="minorEastAsia"/>
                <w:color w:val="auto"/>
                <w:szCs w:val="21"/>
                <w:highlight w:val="none"/>
              </w:rPr>
              <w:t>供应商资格声明函</w:t>
            </w:r>
          </w:p>
        </w:tc>
        <w:tc>
          <w:tcPr>
            <w:tcW w:w="2466" w:type="pct"/>
            <w:vAlign w:val="center"/>
          </w:tcPr>
          <w:p w14:paraId="47EA079C">
            <w:pPr>
              <w:ind w:firstLine="420" w:firstLineChars="200"/>
              <w:jc w:val="left"/>
              <w:rPr>
                <w:rFonts w:asciiTheme="minorEastAsia" w:hAnsiTheme="minorEastAsia"/>
                <w:color w:val="auto"/>
                <w:szCs w:val="21"/>
                <w:highlight w:val="none"/>
              </w:rPr>
            </w:pPr>
            <w:r>
              <w:rPr>
                <w:rFonts w:asciiTheme="minorEastAsia" w:hAnsiTheme="minorEastAsia"/>
                <w:color w:val="auto"/>
                <w:szCs w:val="21"/>
                <w:highlight w:val="none"/>
              </w:rPr>
              <w:t>提供了符合</w:t>
            </w:r>
            <w:r>
              <w:rPr>
                <w:rFonts w:hint="eastAsia" w:asciiTheme="minorEastAsia" w:hAnsiTheme="minorEastAsia"/>
                <w:color w:val="auto"/>
                <w:szCs w:val="21"/>
                <w:highlight w:val="none"/>
              </w:rPr>
              <w:t>采购</w:t>
            </w:r>
            <w:r>
              <w:rPr>
                <w:rFonts w:asciiTheme="minorEastAsia" w:hAnsiTheme="minorEastAsia"/>
                <w:color w:val="auto"/>
                <w:szCs w:val="21"/>
                <w:highlight w:val="none"/>
              </w:rPr>
              <w:t>文件要求的《</w:t>
            </w:r>
            <w:r>
              <w:rPr>
                <w:rFonts w:hint="eastAsia" w:asciiTheme="minorEastAsia" w:hAnsiTheme="minorEastAsia"/>
                <w:color w:val="auto"/>
                <w:szCs w:val="21"/>
                <w:highlight w:val="none"/>
              </w:rPr>
              <w:t>供应商资格声明函</w:t>
            </w:r>
            <w:r>
              <w:rPr>
                <w:rFonts w:asciiTheme="minorEastAsia" w:hAnsiTheme="minorEastAsia"/>
                <w:color w:val="auto"/>
                <w:szCs w:val="21"/>
                <w:highlight w:val="none"/>
              </w:rPr>
              <w:t>》。</w:t>
            </w:r>
          </w:p>
        </w:tc>
        <w:tc>
          <w:tcPr>
            <w:tcW w:w="972" w:type="pct"/>
            <w:vAlign w:val="center"/>
          </w:tcPr>
          <w:p w14:paraId="4556BF3F">
            <w:pPr>
              <w:jc w:val="left"/>
              <w:rPr>
                <w:rFonts w:asciiTheme="minorEastAsia" w:hAnsiTheme="minorEastAsia"/>
                <w:color w:val="auto"/>
                <w:szCs w:val="21"/>
                <w:highlight w:val="none"/>
              </w:rPr>
            </w:pPr>
            <w:r>
              <w:rPr>
                <w:rFonts w:asciiTheme="minorEastAsia" w:hAnsiTheme="minorEastAsia"/>
                <w:color w:val="auto"/>
                <w:szCs w:val="21"/>
                <w:highlight w:val="none"/>
              </w:rPr>
              <w:t>格式见《</w:t>
            </w:r>
            <w:r>
              <w:rPr>
                <w:rFonts w:hint="eastAsia" w:asciiTheme="minorEastAsia" w:hAnsiTheme="minorEastAsia"/>
                <w:color w:val="auto"/>
                <w:szCs w:val="21"/>
                <w:highlight w:val="none"/>
              </w:rPr>
              <w:t>响应</w:t>
            </w:r>
            <w:r>
              <w:rPr>
                <w:rFonts w:asciiTheme="minorEastAsia" w:hAnsiTheme="minorEastAsia"/>
                <w:color w:val="auto"/>
                <w:szCs w:val="21"/>
                <w:highlight w:val="none"/>
              </w:rPr>
              <w:t>文件格式》</w:t>
            </w:r>
          </w:p>
        </w:tc>
      </w:tr>
      <w:tr w14:paraId="535461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375" w:type="pct"/>
            <w:vAlign w:val="center"/>
          </w:tcPr>
          <w:p w14:paraId="30D1057F">
            <w:pPr>
              <w:jc w:val="left"/>
              <w:rPr>
                <w:rFonts w:asciiTheme="minorEastAsia" w:hAnsiTheme="minorEastAsia"/>
                <w:color w:val="auto"/>
                <w:szCs w:val="21"/>
                <w:highlight w:val="none"/>
              </w:rPr>
            </w:pPr>
            <w:r>
              <w:rPr>
                <w:rFonts w:hint="eastAsia" w:asciiTheme="minorEastAsia" w:hAnsiTheme="minorEastAsia"/>
                <w:color w:val="auto"/>
                <w:szCs w:val="21"/>
                <w:highlight w:val="none"/>
              </w:rPr>
              <w:t>1-2</w:t>
            </w:r>
          </w:p>
        </w:tc>
        <w:tc>
          <w:tcPr>
            <w:tcW w:w="1185" w:type="pct"/>
            <w:vAlign w:val="center"/>
          </w:tcPr>
          <w:p w14:paraId="5861D300">
            <w:pPr>
              <w:jc w:val="left"/>
              <w:rPr>
                <w:rFonts w:asciiTheme="minorEastAsia" w:hAnsiTheme="minorEastAsia"/>
                <w:color w:val="auto"/>
                <w:szCs w:val="21"/>
                <w:highlight w:val="none"/>
              </w:rPr>
            </w:pPr>
            <w:r>
              <w:rPr>
                <w:rFonts w:hint="eastAsia" w:asciiTheme="minorEastAsia" w:hAnsiTheme="minorEastAsia"/>
                <w:color w:val="auto"/>
                <w:szCs w:val="21"/>
                <w:highlight w:val="none"/>
              </w:rPr>
              <w:t>供应商营业执照</w:t>
            </w:r>
          </w:p>
        </w:tc>
        <w:tc>
          <w:tcPr>
            <w:tcW w:w="2466" w:type="pct"/>
            <w:vAlign w:val="center"/>
          </w:tcPr>
          <w:p w14:paraId="34D02679">
            <w:pPr>
              <w:ind w:firstLine="420" w:firstLineChars="200"/>
              <w:jc w:val="left"/>
              <w:rPr>
                <w:rFonts w:asciiTheme="minorEastAsia" w:hAnsiTheme="minorEastAsia"/>
                <w:color w:val="auto"/>
                <w:szCs w:val="21"/>
                <w:highlight w:val="none"/>
              </w:rPr>
            </w:pPr>
            <w:r>
              <w:rPr>
                <w:rFonts w:hint="eastAsia" w:asciiTheme="minorEastAsia" w:hAnsiTheme="minorEastAsia"/>
                <w:color w:val="auto"/>
                <w:szCs w:val="21"/>
                <w:highlight w:val="none"/>
              </w:rPr>
              <w:t>法人或者其他组织提供营业执照等证明文件，自然人提供营业执照（如有）及身份证明</w:t>
            </w:r>
          </w:p>
        </w:tc>
        <w:tc>
          <w:tcPr>
            <w:tcW w:w="972" w:type="pct"/>
            <w:vAlign w:val="center"/>
          </w:tcPr>
          <w:p w14:paraId="5D9557FD">
            <w:pPr>
              <w:jc w:val="left"/>
              <w:rPr>
                <w:rFonts w:asciiTheme="minorEastAsia" w:hAnsiTheme="minorEastAsia"/>
                <w:color w:val="auto"/>
                <w:szCs w:val="21"/>
                <w:highlight w:val="none"/>
              </w:rPr>
            </w:pPr>
            <w:r>
              <w:rPr>
                <w:rFonts w:hint="eastAsia" w:asciiTheme="minorEastAsia" w:hAnsiTheme="minorEastAsia"/>
                <w:color w:val="auto"/>
                <w:szCs w:val="21"/>
                <w:highlight w:val="none"/>
              </w:rPr>
              <w:t>提供扫描件加盖公章</w:t>
            </w:r>
          </w:p>
        </w:tc>
      </w:tr>
      <w:tr w14:paraId="48FA78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375" w:type="pct"/>
            <w:vAlign w:val="center"/>
          </w:tcPr>
          <w:p w14:paraId="7FA98648">
            <w:pPr>
              <w:jc w:val="left"/>
              <w:rPr>
                <w:rFonts w:asciiTheme="minorEastAsia" w:hAnsiTheme="minorEastAsia"/>
                <w:color w:val="auto"/>
                <w:szCs w:val="21"/>
                <w:highlight w:val="none"/>
              </w:rPr>
            </w:pPr>
            <w:r>
              <w:rPr>
                <w:rFonts w:hint="eastAsia" w:asciiTheme="minorEastAsia" w:hAnsiTheme="minorEastAsia"/>
                <w:color w:val="auto"/>
                <w:szCs w:val="21"/>
                <w:highlight w:val="none"/>
              </w:rPr>
              <w:t>1</w:t>
            </w:r>
            <w:r>
              <w:rPr>
                <w:rFonts w:asciiTheme="minorEastAsia" w:hAnsiTheme="minorEastAsia"/>
                <w:color w:val="auto"/>
                <w:szCs w:val="21"/>
                <w:highlight w:val="none"/>
              </w:rPr>
              <w:t>-</w:t>
            </w:r>
            <w:r>
              <w:rPr>
                <w:rFonts w:hint="eastAsia" w:asciiTheme="minorEastAsia" w:hAnsiTheme="minorEastAsia"/>
                <w:color w:val="auto"/>
                <w:szCs w:val="21"/>
                <w:highlight w:val="none"/>
              </w:rPr>
              <w:t>3</w:t>
            </w:r>
          </w:p>
        </w:tc>
        <w:tc>
          <w:tcPr>
            <w:tcW w:w="1185" w:type="pct"/>
            <w:vAlign w:val="center"/>
          </w:tcPr>
          <w:p w14:paraId="74E1E73B">
            <w:pPr>
              <w:jc w:val="left"/>
              <w:rPr>
                <w:rFonts w:asciiTheme="minorEastAsia" w:hAnsiTheme="minorEastAsia"/>
                <w:color w:val="auto"/>
                <w:szCs w:val="21"/>
                <w:highlight w:val="none"/>
              </w:rPr>
            </w:pPr>
            <w:r>
              <w:rPr>
                <w:rFonts w:asciiTheme="minorEastAsia" w:hAnsiTheme="minorEastAsia"/>
                <w:color w:val="auto"/>
                <w:szCs w:val="21"/>
                <w:highlight w:val="none"/>
              </w:rPr>
              <w:t>供应商信用记录</w:t>
            </w:r>
          </w:p>
        </w:tc>
        <w:tc>
          <w:tcPr>
            <w:tcW w:w="2466" w:type="pct"/>
            <w:vAlign w:val="center"/>
          </w:tcPr>
          <w:p w14:paraId="1AC9CCB0">
            <w:pPr>
              <w:tabs>
                <w:tab w:val="left" w:pos="900"/>
                <w:tab w:val="left" w:pos="1980"/>
              </w:tabs>
              <w:ind w:firstLine="420" w:firstLineChars="200"/>
              <w:jc w:val="left"/>
              <w:rPr>
                <w:rFonts w:asciiTheme="minorEastAsia" w:hAnsiTheme="minorEastAsia"/>
                <w:color w:val="auto"/>
                <w:szCs w:val="21"/>
                <w:highlight w:val="none"/>
              </w:rPr>
            </w:pPr>
            <w:r>
              <w:rPr>
                <w:rFonts w:asciiTheme="minorEastAsia" w:hAnsiTheme="minorEastAsia"/>
                <w:color w:val="auto"/>
                <w:szCs w:val="21"/>
                <w:highlight w:val="none"/>
              </w:rPr>
              <w:t>查询渠道：信用中国网站和中国政府采购网（www.creditchina.gov.cn、www.ccgp.gov.cn）；</w:t>
            </w:r>
          </w:p>
          <w:p w14:paraId="5C669F66">
            <w:pPr>
              <w:tabs>
                <w:tab w:val="left" w:pos="900"/>
                <w:tab w:val="left" w:pos="1980"/>
              </w:tabs>
              <w:ind w:firstLine="420" w:firstLineChars="200"/>
              <w:jc w:val="left"/>
              <w:rPr>
                <w:rFonts w:asciiTheme="minorEastAsia" w:hAnsiTheme="minorEastAsia"/>
                <w:color w:val="auto"/>
                <w:szCs w:val="21"/>
                <w:highlight w:val="none"/>
              </w:rPr>
            </w:pPr>
            <w:r>
              <w:rPr>
                <w:rFonts w:asciiTheme="minorEastAsia" w:hAnsiTheme="minorEastAsia"/>
                <w:color w:val="auto"/>
                <w:szCs w:val="21"/>
                <w:highlight w:val="none"/>
              </w:rPr>
              <w:t>截止时点：提交响应文件截止时间以后、</w:t>
            </w:r>
            <w:r>
              <w:rPr>
                <w:rFonts w:hint="eastAsia" w:asciiTheme="minorEastAsia" w:hAnsiTheme="minorEastAsia"/>
                <w:color w:val="auto"/>
                <w:szCs w:val="21"/>
                <w:highlight w:val="none"/>
              </w:rPr>
              <w:t>资格审查阶段采购人或采购代理机构</w:t>
            </w:r>
            <w:r>
              <w:rPr>
                <w:rFonts w:asciiTheme="minorEastAsia" w:hAnsiTheme="minorEastAsia"/>
                <w:color w:val="auto"/>
                <w:szCs w:val="21"/>
                <w:highlight w:val="none"/>
              </w:rPr>
              <w:t>的实际查询时间；</w:t>
            </w:r>
          </w:p>
          <w:p w14:paraId="12123D3B">
            <w:pPr>
              <w:tabs>
                <w:tab w:val="left" w:pos="900"/>
                <w:tab w:val="left" w:pos="1980"/>
              </w:tabs>
              <w:ind w:firstLine="420" w:firstLineChars="200"/>
              <w:jc w:val="left"/>
              <w:rPr>
                <w:rFonts w:asciiTheme="minorEastAsia" w:hAnsiTheme="minorEastAsia"/>
                <w:color w:val="auto"/>
                <w:szCs w:val="21"/>
                <w:highlight w:val="none"/>
              </w:rPr>
            </w:pPr>
            <w:r>
              <w:rPr>
                <w:rFonts w:asciiTheme="minorEastAsia" w:hAnsiTheme="minorEastAsia"/>
                <w:color w:val="auto"/>
                <w:szCs w:val="21"/>
                <w:highlight w:val="none"/>
              </w:rPr>
              <w:t>信用信息查询记录和证据留存具体方式：查询结果网页打印页作为查询记录和证据，与其他采购文件一并保存；</w:t>
            </w:r>
          </w:p>
          <w:p w14:paraId="2D4315E6">
            <w:pPr>
              <w:ind w:firstLine="420" w:firstLineChars="200"/>
              <w:jc w:val="left"/>
              <w:rPr>
                <w:rFonts w:asciiTheme="minorEastAsia" w:hAnsiTheme="minorEastAsia"/>
                <w:color w:val="auto"/>
                <w:szCs w:val="21"/>
                <w:highlight w:val="none"/>
              </w:rPr>
            </w:pPr>
            <w:r>
              <w:rPr>
                <w:rFonts w:asciiTheme="minorEastAsia" w:hAnsiTheme="minorEastAsia"/>
                <w:color w:val="auto"/>
                <w:szCs w:val="21"/>
                <w:highlight w:val="none"/>
              </w:rPr>
              <w:t>信用信息的使用原则：经认定的被列入失信被执行人、重大税收违法案件当事人名单、政府采购严重违法失信行为记录名单的供应商，其响应无效。联合体形式响应的，联合体成员存在不良信用记录，视同联合体存在不良信用记录。</w:t>
            </w:r>
          </w:p>
        </w:tc>
        <w:tc>
          <w:tcPr>
            <w:tcW w:w="972" w:type="pct"/>
            <w:vAlign w:val="center"/>
          </w:tcPr>
          <w:p w14:paraId="09720E78">
            <w:pPr>
              <w:jc w:val="left"/>
              <w:rPr>
                <w:rFonts w:asciiTheme="minorEastAsia" w:hAnsiTheme="minorEastAsia"/>
                <w:color w:val="auto"/>
                <w:szCs w:val="21"/>
                <w:highlight w:val="none"/>
              </w:rPr>
            </w:pPr>
            <w:r>
              <w:rPr>
                <w:rFonts w:asciiTheme="minorEastAsia" w:hAnsiTheme="minorEastAsia"/>
                <w:color w:val="auto"/>
                <w:szCs w:val="21"/>
                <w:highlight w:val="none"/>
              </w:rPr>
              <w:t>无须供应商提供，由</w:t>
            </w:r>
            <w:r>
              <w:rPr>
                <w:rFonts w:hint="eastAsia" w:asciiTheme="minorEastAsia" w:hAnsiTheme="minorEastAsia"/>
                <w:color w:val="auto"/>
                <w:szCs w:val="21"/>
                <w:highlight w:val="none"/>
              </w:rPr>
              <w:t>采购代理机构</w:t>
            </w:r>
            <w:r>
              <w:rPr>
                <w:rFonts w:asciiTheme="minorEastAsia" w:hAnsiTheme="minorEastAsia"/>
                <w:color w:val="auto"/>
                <w:szCs w:val="21"/>
                <w:highlight w:val="none"/>
              </w:rPr>
              <w:t>查询。</w:t>
            </w:r>
          </w:p>
        </w:tc>
      </w:tr>
    </w:tbl>
    <w:p w14:paraId="15FB3723">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《符合性审查要求》见下表</w:t>
      </w:r>
      <w:r>
        <w:rPr>
          <w:rFonts w:hint="eastAsia" w:asciiTheme="minorEastAsia" w:hAnsiTheme="minorEastAsia"/>
          <w:color w:val="auto"/>
          <w:sz w:val="24"/>
          <w:highlight w:val="none"/>
        </w:rPr>
        <w:t>：</w:t>
      </w:r>
    </w:p>
    <w:p w14:paraId="1137FADC">
      <w:pPr>
        <w:spacing w:line="360" w:lineRule="auto"/>
        <w:jc w:val="center"/>
        <w:rPr>
          <w:rFonts w:asciiTheme="minorEastAsia" w:hAnsiTheme="minorEastAsia"/>
          <w:b/>
          <w:color w:val="auto"/>
          <w:kern w:val="0"/>
          <w:szCs w:val="21"/>
          <w:highlight w:val="none"/>
        </w:rPr>
      </w:pPr>
      <w:r>
        <w:rPr>
          <w:rFonts w:asciiTheme="minorEastAsia" w:hAnsiTheme="minorEastAsia"/>
          <w:b/>
          <w:color w:val="auto"/>
          <w:kern w:val="0"/>
          <w:szCs w:val="21"/>
          <w:highlight w:val="none"/>
        </w:rPr>
        <w:t>符合性审查要求</w:t>
      </w:r>
    </w:p>
    <w:tbl>
      <w:tblPr>
        <w:tblStyle w:val="21"/>
        <w:tblW w:w="52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8"/>
        <w:gridCol w:w="2395"/>
        <w:gridCol w:w="5909"/>
      </w:tblGrid>
      <w:tr w14:paraId="179C4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83" w:type="pct"/>
            <w:vAlign w:val="center"/>
          </w:tcPr>
          <w:p w14:paraId="0F6EFC50">
            <w:pPr>
              <w:jc w:val="left"/>
              <w:rPr>
                <w:rFonts w:asciiTheme="minorEastAsia" w:hAnsiTheme="minorEastAsia"/>
                <w:color w:val="auto"/>
                <w:szCs w:val="21"/>
                <w:highlight w:val="none"/>
              </w:rPr>
            </w:pPr>
            <w:r>
              <w:rPr>
                <w:rFonts w:asciiTheme="minorEastAsia" w:hAnsiTheme="minorEastAsia"/>
                <w:color w:val="auto"/>
                <w:szCs w:val="21"/>
                <w:highlight w:val="none"/>
              </w:rPr>
              <w:t>序号</w:t>
            </w:r>
          </w:p>
        </w:tc>
        <w:tc>
          <w:tcPr>
            <w:tcW w:w="1331" w:type="pct"/>
            <w:vAlign w:val="center"/>
          </w:tcPr>
          <w:p w14:paraId="2D3A83F5">
            <w:pPr>
              <w:jc w:val="left"/>
              <w:rPr>
                <w:rFonts w:asciiTheme="minorEastAsia" w:hAnsiTheme="minorEastAsia"/>
                <w:color w:val="auto"/>
                <w:szCs w:val="21"/>
                <w:highlight w:val="none"/>
              </w:rPr>
            </w:pPr>
            <w:r>
              <w:rPr>
                <w:rFonts w:asciiTheme="minorEastAsia" w:hAnsiTheme="minorEastAsia"/>
                <w:color w:val="auto"/>
                <w:szCs w:val="21"/>
                <w:highlight w:val="none"/>
              </w:rPr>
              <w:t>审查因素</w:t>
            </w:r>
          </w:p>
        </w:tc>
        <w:tc>
          <w:tcPr>
            <w:tcW w:w="3284" w:type="pct"/>
            <w:vAlign w:val="center"/>
          </w:tcPr>
          <w:p w14:paraId="3DA06A56">
            <w:pPr>
              <w:jc w:val="left"/>
              <w:rPr>
                <w:rFonts w:asciiTheme="minorEastAsia" w:hAnsiTheme="minorEastAsia"/>
                <w:color w:val="auto"/>
                <w:szCs w:val="21"/>
                <w:highlight w:val="none"/>
              </w:rPr>
            </w:pPr>
            <w:r>
              <w:rPr>
                <w:rFonts w:asciiTheme="minorEastAsia" w:hAnsiTheme="minorEastAsia"/>
                <w:color w:val="auto"/>
                <w:szCs w:val="21"/>
                <w:highlight w:val="none"/>
              </w:rPr>
              <w:t>审查内容</w:t>
            </w:r>
          </w:p>
        </w:tc>
      </w:tr>
      <w:tr w14:paraId="73E7B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6E63E212">
            <w:pPr>
              <w:jc w:val="left"/>
              <w:rPr>
                <w:rFonts w:asciiTheme="minorEastAsia" w:hAnsiTheme="minorEastAsia"/>
                <w:color w:val="auto"/>
                <w:szCs w:val="21"/>
                <w:highlight w:val="none"/>
              </w:rPr>
            </w:pPr>
            <w:r>
              <w:rPr>
                <w:rFonts w:asciiTheme="minorEastAsia" w:hAnsiTheme="minorEastAsia"/>
                <w:color w:val="auto"/>
                <w:szCs w:val="21"/>
                <w:highlight w:val="none"/>
              </w:rPr>
              <w:t>1</w:t>
            </w:r>
          </w:p>
        </w:tc>
        <w:tc>
          <w:tcPr>
            <w:tcW w:w="1331" w:type="pct"/>
            <w:vAlign w:val="center"/>
          </w:tcPr>
          <w:p w14:paraId="10E23641">
            <w:pPr>
              <w:jc w:val="left"/>
              <w:rPr>
                <w:rFonts w:asciiTheme="minorEastAsia" w:hAnsiTheme="minorEastAsia"/>
                <w:color w:val="auto"/>
                <w:szCs w:val="21"/>
                <w:highlight w:val="none"/>
              </w:rPr>
            </w:pPr>
            <w:r>
              <w:rPr>
                <w:rFonts w:hint="eastAsia" w:asciiTheme="minorEastAsia" w:hAnsiTheme="minorEastAsia"/>
                <w:color w:val="auto"/>
                <w:szCs w:val="21"/>
                <w:highlight w:val="none"/>
              </w:rPr>
              <w:t>响应函、法定代表人资格证明书和政府采购供应商信用承诺书</w:t>
            </w:r>
          </w:p>
        </w:tc>
        <w:tc>
          <w:tcPr>
            <w:tcW w:w="3284" w:type="pct"/>
            <w:vAlign w:val="center"/>
          </w:tcPr>
          <w:p w14:paraId="522F7FEB">
            <w:pPr>
              <w:jc w:val="left"/>
              <w:rPr>
                <w:rFonts w:asciiTheme="minorEastAsia" w:hAnsiTheme="minorEastAsia"/>
                <w:color w:val="auto"/>
                <w:szCs w:val="21"/>
                <w:highlight w:val="none"/>
              </w:rPr>
            </w:pPr>
            <w:r>
              <w:rPr>
                <w:rFonts w:asciiTheme="minorEastAsia" w:hAnsiTheme="minorEastAsia"/>
                <w:color w:val="auto"/>
                <w:szCs w:val="21"/>
                <w:highlight w:val="none"/>
              </w:rPr>
              <w:t>按磋商文件要求提供</w:t>
            </w:r>
            <w:r>
              <w:rPr>
                <w:rFonts w:hint="eastAsia" w:asciiTheme="minorEastAsia" w:hAnsiTheme="minorEastAsia"/>
                <w:color w:val="auto"/>
                <w:szCs w:val="21"/>
                <w:highlight w:val="none"/>
              </w:rPr>
              <w:t>响应函、法定代表人资格证明书和政府采购供应商信用承诺书</w:t>
            </w:r>
            <w:r>
              <w:rPr>
                <w:rFonts w:asciiTheme="minorEastAsia" w:hAnsiTheme="minorEastAsia"/>
                <w:color w:val="auto"/>
                <w:szCs w:val="21"/>
                <w:highlight w:val="none"/>
              </w:rPr>
              <w:t>；</w:t>
            </w:r>
          </w:p>
        </w:tc>
      </w:tr>
      <w:tr w14:paraId="0ADAD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383" w:type="pct"/>
            <w:vAlign w:val="center"/>
          </w:tcPr>
          <w:p w14:paraId="052EC02B">
            <w:pPr>
              <w:jc w:val="left"/>
              <w:rPr>
                <w:rFonts w:asciiTheme="minorEastAsia" w:hAnsiTheme="minorEastAsia"/>
                <w:color w:val="auto"/>
                <w:szCs w:val="21"/>
                <w:highlight w:val="none"/>
              </w:rPr>
            </w:pPr>
            <w:r>
              <w:rPr>
                <w:rFonts w:asciiTheme="minorEastAsia" w:hAnsiTheme="minorEastAsia"/>
                <w:color w:val="auto"/>
                <w:szCs w:val="21"/>
                <w:highlight w:val="none"/>
              </w:rPr>
              <w:t>2</w:t>
            </w:r>
          </w:p>
        </w:tc>
        <w:tc>
          <w:tcPr>
            <w:tcW w:w="1331" w:type="pct"/>
            <w:vAlign w:val="center"/>
          </w:tcPr>
          <w:p w14:paraId="7F023D6B">
            <w:pPr>
              <w:jc w:val="left"/>
              <w:rPr>
                <w:rFonts w:asciiTheme="minorEastAsia" w:hAnsiTheme="minorEastAsia"/>
                <w:color w:val="auto"/>
                <w:szCs w:val="21"/>
                <w:highlight w:val="none"/>
              </w:rPr>
            </w:pPr>
            <w:r>
              <w:rPr>
                <w:rFonts w:asciiTheme="minorEastAsia" w:hAnsiTheme="minorEastAsia"/>
                <w:color w:val="auto"/>
                <w:szCs w:val="21"/>
                <w:highlight w:val="none"/>
              </w:rPr>
              <w:t>响应完整性</w:t>
            </w:r>
          </w:p>
        </w:tc>
        <w:tc>
          <w:tcPr>
            <w:tcW w:w="3284" w:type="pct"/>
            <w:vAlign w:val="center"/>
          </w:tcPr>
          <w:p w14:paraId="35507DD2">
            <w:pPr>
              <w:jc w:val="left"/>
              <w:rPr>
                <w:rFonts w:asciiTheme="minorEastAsia" w:hAnsiTheme="minorEastAsia"/>
                <w:color w:val="auto"/>
                <w:szCs w:val="21"/>
                <w:highlight w:val="none"/>
              </w:rPr>
            </w:pPr>
            <w:r>
              <w:rPr>
                <w:rFonts w:hint="eastAsia" w:asciiTheme="minorEastAsia" w:hAnsiTheme="minorEastAsia"/>
                <w:color w:val="auto"/>
                <w:szCs w:val="21"/>
                <w:highlight w:val="none"/>
              </w:rPr>
              <w:t>未</w:t>
            </w:r>
            <w:r>
              <w:rPr>
                <w:rFonts w:asciiTheme="minorEastAsia" w:hAnsiTheme="minorEastAsia"/>
                <w:color w:val="auto"/>
                <w:szCs w:val="21"/>
                <w:highlight w:val="none"/>
              </w:rPr>
              <w:t>将一个采购包中的内容拆开响应；</w:t>
            </w:r>
            <w:r>
              <w:rPr>
                <w:rFonts w:asciiTheme="minorEastAsia" w:hAnsiTheme="minorEastAsia"/>
                <w:color w:val="auto"/>
                <w:kern w:val="0"/>
                <w:szCs w:val="21"/>
                <w:highlight w:val="none"/>
              </w:rPr>
              <w:t>（由评委审查，无需</w:t>
            </w:r>
            <w:r>
              <w:rPr>
                <w:rFonts w:hint="eastAsia" w:asciiTheme="minorEastAsia" w:hAnsiTheme="minorEastAsia"/>
                <w:color w:val="auto"/>
                <w:kern w:val="0"/>
                <w:szCs w:val="21"/>
                <w:highlight w:val="none"/>
              </w:rPr>
              <w:t>投标供应商</w:t>
            </w:r>
            <w:r>
              <w:rPr>
                <w:rFonts w:asciiTheme="minorEastAsia" w:hAnsiTheme="minorEastAsia"/>
                <w:color w:val="auto"/>
                <w:kern w:val="0"/>
                <w:szCs w:val="21"/>
                <w:highlight w:val="none"/>
              </w:rPr>
              <w:t>提供材料）</w:t>
            </w:r>
          </w:p>
        </w:tc>
      </w:tr>
      <w:tr w14:paraId="38126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1662C73E">
            <w:pPr>
              <w:jc w:val="left"/>
              <w:rPr>
                <w:rFonts w:asciiTheme="minorEastAsia" w:hAnsiTheme="minorEastAsia"/>
                <w:color w:val="auto"/>
                <w:szCs w:val="21"/>
                <w:highlight w:val="none"/>
              </w:rPr>
            </w:pPr>
            <w:r>
              <w:rPr>
                <w:rFonts w:asciiTheme="minorEastAsia" w:hAnsiTheme="minorEastAsia"/>
                <w:color w:val="auto"/>
                <w:szCs w:val="21"/>
                <w:highlight w:val="none"/>
              </w:rPr>
              <w:t>3</w:t>
            </w:r>
          </w:p>
        </w:tc>
        <w:tc>
          <w:tcPr>
            <w:tcW w:w="1331" w:type="pct"/>
            <w:vAlign w:val="center"/>
          </w:tcPr>
          <w:p w14:paraId="45E04C44">
            <w:pPr>
              <w:jc w:val="left"/>
              <w:rPr>
                <w:rFonts w:asciiTheme="minorEastAsia" w:hAnsiTheme="minorEastAsia"/>
                <w:color w:val="auto"/>
                <w:szCs w:val="21"/>
                <w:highlight w:val="none"/>
              </w:rPr>
            </w:pPr>
            <w:r>
              <w:rPr>
                <w:rFonts w:asciiTheme="minorEastAsia" w:hAnsiTheme="minorEastAsia"/>
                <w:color w:val="auto"/>
                <w:szCs w:val="21"/>
                <w:highlight w:val="none"/>
              </w:rPr>
              <w:t>响应报价</w:t>
            </w:r>
          </w:p>
        </w:tc>
        <w:tc>
          <w:tcPr>
            <w:tcW w:w="3284" w:type="pct"/>
            <w:vAlign w:val="center"/>
          </w:tcPr>
          <w:p w14:paraId="3C8DC403">
            <w:pPr>
              <w:jc w:val="left"/>
              <w:rPr>
                <w:rFonts w:asciiTheme="minorEastAsia" w:hAnsiTheme="minorEastAsia"/>
                <w:color w:val="auto"/>
                <w:szCs w:val="21"/>
                <w:highlight w:val="none"/>
              </w:rPr>
            </w:pPr>
            <w:r>
              <w:rPr>
                <w:rFonts w:asciiTheme="minorEastAsia" w:hAnsiTheme="minorEastAsia"/>
                <w:color w:val="auto"/>
                <w:szCs w:val="21"/>
                <w:highlight w:val="none"/>
              </w:rPr>
              <w:t>响应报价</w:t>
            </w:r>
            <w:r>
              <w:rPr>
                <w:rFonts w:hint="eastAsia" w:asciiTheme="minorEastAsia" w:hAnsiTheme="minorEastAsia"/>
                <w:color w:val="auto"/>
                <w:szCs w:val="21"/>
                <w:highlight w:val="none"/>
              </w:rPr>
              <w:t>未</w:t>
            </w:r>
            <w:r>
              <w:rPr>
                <w:rFonts w:asciiTheme="minorEastAsia" w:hAnsiTheme="minorEastAsia"/>
                <w:color w:val="auto"/>
                <w:szCs w:val="21"/>
                <w:highlight w:val="none"/>
              </w:rPr>
              <w:t>超过磋商文件中规定的项目/采购包预算金额或者项目/采购包最高限价；</w:t>
            </w:r>
            <w:r>
              <w:rPr>
                <w:rFonts w:asciiTheme="minorEastAsia" w:hAnsiTheme="minorEastAsia"/>
                <w:color w:val="auto"/>
                <w:kern w:val="0"/>
                <w:szCs w:val="21"/>
                <w:highlight w:val="none"/>
              </w:rPr>
              <w:t>（由评委审查，无需</w:t>
            </w:r>
            <w:r>
              <w:rPr>
                <w:rFonts w:hint="eastAsia" w:asciiTheme="minorEastAsia" w:hAnsiTheme="minorEastAsia"/>
                <w:color w:val="auto"/>
                <w:kern w:val="0"/>
                <w:szCs w:val="21"/>
                <w:highlight w:val="none"/>
              </w:rPr>
              <w:t>投标供应商</w:t>
            </w:r>
            <w:r>
              <w:rPr>
                <w:rFonts w:asciiTheme="minorEastAsia" w:hAnsiTheme="minorEastAsia"/>
                <w:color w:val="auto"/>
                <w:kern w:val="0"/>
                <w:szCs w:val="21"/>
                <w:highlight w:val="none"/>
              </w:rPr>
              <w:t>提供材料）</w:t>
            </w:r>
          </w:p>
        </w:tc>
      </w:tr>
      <w:tr w14:paraId="02BC7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41B7AFDE">
            <w:pPr>
              <w:jc w:val="left"/>
              <w:rPr>
                <w:rFonts w:asciiTheme="minorEastAsia" w:hAnsiTheme="minorEastAsia"/>
                <w:color w:val="auto"/>
                <w:szCs w:val="21"/>
                <w:highlight w:val="none"/>
              </w:rPr>
            </w:pPr>
            <w:r>
              <w:rPr>
                <w:rFonts w:asciiTheme="minorEastAsia" w:hAnsiTheme="minorEastAsia"/>
                <w:color w:val="auto"/>
                <w:szCs w:val="21"/>
                <w:highlight w:val="none"/>
              </w:rPr>
              <w:t>4</w:t>
            </w:r>
          </w:p>
        </w:tc>
        <w:tc>
          <w:tcPr>
            <w:tcW w:w="1331" w:type="pct"/>
            <w:vAlign w:val="center"/>
          </w:tcPr>
          <w:p w14:paraId="4B07E3B3">
            <w:pPr>
              <w:jc w:val="left"/>
              <w:rPr>
                <w:rFonts w:asciiTheme="minorEastAsia" w:hAnsiTheme="minorEastAsia"/>
                <w:color w:val="auto"/>
                <w:szCs w:val="21"/>
                <w:highlight w:val="none"/>
              </w:rPr>
            </w:pPr>
            <w:r>
              <w:rPr>
                <w:rFonts w:asciiTheme="minorEastAsia" w:hAnsiTheme="minorEastAsia"/>
                <w:color w:val="auto"/>
                <w:szCs w:val="21"/>
                <w:highlight w:val="none"/>
              </w:rPr>
              <w:t>报价唯一性</w:t>
            </w:r>
          </w:p>
        </w:tc>
        <w:tc>
          <w:tcPr>
            <w:tcW w:w="3284" w:type="pct"/>
            <w:vAlign w:val="center"/>
          </w:tcPr>
          <w:p w14:paraId="480FD7F6">
            <w:pPr>
              <w:jc w:val="left"/>
              <w:rPr>
                <w:rFonts w:asciiTheme="minorEastAsia" w:hAnsiTheme="minorEastAsia"/>
                <w:color w:val="auto"/>
                <w:szCs w:val="21"/>
                <w:highlight w:val="none"/>
              </w:rPr>
            </w:pPr>
            <w:r>
              <w:rPr>
                <w:rFonts w:asciiTheme="minorEastAsia" w:hAnsiTheme="minorEastAsia"/>
                <w:color w:val="auto"/>
                <w:szCs w:val="21"/>
                <w:highlight w:val="none"/>
              </w:rPr>
              <w:t>响应文件</w:t>
            </w:r>
            <w:r>
              <w:rPr>
                <w:rFonts w:hint="eastAsia" w:asciiTheme="minorEastAsia" w:hAnsiTheme="minorEastAsia"/>
                <w:color w:val="auto"/>
                <w:szCs w:val="21"/>
                <w:highlight w:val="none"/>
              </w:rPr>
              <w:t>未出现可选择性或可调整的报价（磋商文件另有规定的除外）</w:t>
            </w:r>
            <w:r>
              <w:rPr>
                <w:rFonts w:asciiTheme="minorEastAsia" w:hAnsiTheme="minorEastAsia"/>
                <w:color w:val="auto"/>
                <w:szCs w:val="21"/>
                <w:highlight w:val="none"/>
              </w:rPr>
              <w:t>；</w:t>
            </w:r>
            <w:r>
              <w:rPr>
                <w:rFonts w:asciiTheme="minorEastAsia" w:hAnsiTheme="minorEastAsia"/>
                <w:b/>
                <w:color w:val="auto"/>
                <w:kern w:val="0"/>
                <w:szCs w:val="21"/>
                <w:highlight w:val="none"/>
              </w:rPr>
              <w:t>提供《</w:t>
            </w:r>
            <w:r>
              <w:rPr>
                <w:rFonts w:hint="eastAsia" w:asciiTheme="minorEastAsia" w:hAnsiTheme="minorEastAsia"/>
                <w:b/>
                <w:color w:val="auto"/>
                <w:kern w:val="0"/>
                <w:szCs w:val="21"/>
                <w:highlight w:val="none"/>
              </w:rPr>
              <w:t>报价</w:t>
            </w:r>
            <w:r>
              <w:rPr>
                <w:rFonts w:asciiTheme="minorEastAsia" w:hAnsiTheme="minorEastAsia"/>
                <w:b/>
                <w:color w:val="auto"/>
                <w:kern w:val="0"/>
                <w:szCs w:val="21"/>
                <w:highlight w:val="none"/>
              </w:rPr>
              <w:t>一览表》，详见附件格式</w:t>
            </w:r>
          </w:p>
        </w:tc>
      </w:tr>
      <w:tr w14:paraId="3948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61E3461E">
            <w:pPr>
              <w:jc w:val="left"/>
              <w:rPr>
                <w:rFonts w:asciiTheme="minorEastAsia" w:hAnsiTheme="minorEastAsia"/>
                <w:color w:val="auto"/>
                <w:szCs w:val="21"/>
                <w:highlight w:val="none"/>
              </w:rPr>
            </w:pPr>
            <w:r>
              <w:rPr>
                <w:rFonts w:asciiTheme="minorEastAsia" w:hAnsiTheme="minorEastAsia"/>
                <w:color w:val="auto"/>
                <w:szCs w:val="21"/>
                <w:highlight w:val="none"/>
              </w:rPr>
              <w:t>5</w:t>
            </w:r>
          </w:p>
        </w:tc>
        <w:tc>
          <w:tcPr>
            <w:tcW w:w="1331" w:type="pct"/>
            <w:vAlign w:val="center"/>
          </w:tcPr>
          <w:p w14:paraId="12886505">
            <w:pPr>
              <w:jc w:val="left"/>
              <w:rPr>
                <w:rFonts w:asciiTheme="minorEastAsia" w:hAnsiTheme="minorEastAsia"/>
                <w:color w:val="auto"/>
                <w:szCs w:val="21"/>
                <w:highlight w:val="none"/>
              </w:rPr>
            </w:pPr>
            <w:r>
              <w:rPr>
                <w:rFonts w:asciiTheme="minorEastAsia" w:hAnsiTheme="minorEastAsia"/>
                <w:color w:val="auto"/>
                <w:szCs w:val="21"/>
                <w:highlight w:val="none"/>
              </w:rPr>
              <w:t>响应有效期</w:t>
            </w:r>
          </w:p>
        </w:tc>
        <w:tc>
          <w:tcPr>
            <w:tcW w:w="3284" w:type="pct"/>
            <w:vAlign w:val="center"/>
          </w:tcPr>
          <w:p w14:paraId="6D95BED1">
            <w:pPr>
              <w:jc w:val="left"/>
              <w:rPr>
                <w:rFonts w:asciiTheme="minorEastAsia" w:hAnsiTheme="minorEastAsia"/>
                <w:color w:val="auto"/>
                <w:szCs w:val="21"/>
                <w:highlight w:val="none"/>
              </w:rPr>
            </w:pPr>
            <w:r>
              <w:rPr>
                <w:rFonts w:asciiTheme="minorEastAsia" w:hAnsiTheme="minorEastAsia"/>
                <w:color w:val="auto"/>
                <w:szCs w:val="21"/>
                <w:highlight w:val="none"/>
              </w:rPr>
              <w:t>响应文件中承诺的响应有效期</w:t>
            </w:r>
            <w:r>
              <w:rPr>
                <w:rFonts w:hint="eastAsia" w:asciiTheme="minorEastAsia" w:hAnsiTheme="minorEastAsia"/>
                <w:color w:val="auto"/>
                <w:szCs w:val="21"/>
                <w:highlight w:val="none"/>
              </w:rPr>
              <w:t>满足</w:t>
            </w:r>
            <w:r>
              <w:rPr>
                <w:rFonts w:asciiTheme="minorEastAsia" w:hAnsiTheme="minorEastAsia"/>
                <w:color w:val="auto"/>
                <w:szCs w:val="21"/>
                <w:highlight w:val="none"/>
              </w:rPr>
              <w:t>磋商文件中载明的响应有效期的；</w:t>
            </w:r>
            <w:r>
              <w:rPr>
                <w:rFonts w:asciiTheme="minorEastAsia" w:hAnsiTheme="minorEastAsia"/>
                <w:color w:val="auto"/>
                <w:kern w:val="0"/>
                <w:szCs w:val="21"/>
                <w:highlight w:val="none"/>
              </w:rPr>
              <w:t>（详见附件</w:t>
            </w:r>
            <w:r>
              <w:rPr>
                <w:rFonts w:hint="eastAsia" w:asciiTheme="minorEastAsia" w:hAnsiTheme="minorEastAsia"/>
                <w:color w:val="auto"/>
                <w:kern w:val="0"/>
                <w:szCs w:val="21"/>
                <w:highlight w:val="none"/>
              </w:rPr>
              <w:t>响应函</w:t>
            </w:r>
            <w:r>
              <w:rPr>
                <w:rFonts w:asciiTheme="minorEastAsia" w:hAnsiTheme="minorEastAsia"/>
                <w:color w:val="auto"/>
                <w:kern w:val="0"/>
                <w:szCs w:val="21"/>
                <w:highlight w:val="none"/>
              </w:rPr>
              <w:t>）</w:t>
            </w:r>
          </w:p>
        </w:tc>
      </w:tr>
      <w:tr w14:paraId="0F869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83" w:type="pct"/>
            <w:vAlign w:val="center"/>
          </w:tcPr>
          <w:p w14:paraId="2ED25694">
            <w:pPr>
              <w:jc w:val="left"/>
              <w:rPr>
                <w:rFonts w:asciiTheme="minorEastAsia" w:hAnsiTheme="minorEastAsia"/>
                <w:color w:val="auto"/>
                <w:szCs w:val="21"/>
                <w:highlight w:val="none"/>
              </w:rPr>
            </w:pPr>
            <w:r>
              <w:rPr>
                <w:rFonts w:asciiTheme="minorEastAsia" w:hAnsiTheme="minorEastAsia"/>
                <w:color w:val="auto"/>
                <w:szCs w:val="21"/>
                <w:highlight w:val="none"/>
              </w:rPr>
              <w:t>6</w:t>
            </w:r>
          </w:p>
        </w:tc>
        <w:tc>
          <w:tcPr>
            <w:tcW w:w="1331" w:type="pct"/>
            <w:vAlign w:val="center"/>
          </w:tcPr>
          <w:p w14:paraId="13991FE5">
            <w:pPr>
              <w:jc w:val="left"/>
              <w:rPr>
                <w:rFonts w:asciiTheme="minorEastAsia" w:hAnsiTheme="minorEastAsia"/>
                <w:color w:val="auto"/>
                <w:szCs w:val="21"/>
                <w:highlight w:val="none"/>
              </w:rPr>
            </w:pPr>
            <w:r>
              <w:rPr>
                <w:rFonts w:asciiTheme="minorEastAsia" w:hAnsiTheme="minorEastAsia"/>
                <w:color w:val="auto"/>
                <w:szCs w:val="21"/>
                <w:highlight w:val="none"/>
              </w:rPr>
              <w:t>签署、加盖公章</w:t>
            </w:r>
          </w:p>
        </w:tc>
        <w:tc>
          <w:tcPr>
            <w:tcW w:w="3284" w:type="pct"/>
            <w:vAlign w:val="center"/>
          </w:tcPr>
          <w:p w14:paraId="780B4717">
            <w:pPr>
              <w:jc w:val="left"/>
              <w:rPr>
                <w:rFonts w:asciiTheme="minorEastAsia" w:hAnsiTheme="minorEastAsia"/>
                <w:color w:val="auto"/>
                <w:szCs w:val="21"/>
                <w:highlight w:val="none"/>
              </w:rPr>
            </w:pPr>
            <w:r>
              <w:rPr>
                <w:rFonts w:asciiTheme="minorEastAsia" w:hAnsiTheme="minorEastAsia"/>
                <w:color w:val="auto"/>
                <w:szCs w:val="21"/>
                <w:highlight w:val="none"/>
              </w:rPr>
              <w:t>按照磋商文件要求签署、加盖公章的；</w:t>
            </w:r>
            <w:r>
              <w:rPr>
                <w:rFonts w:asciiTheme="minorEastAsia" w:hAnsiTheme="minorEastAsia"/>
                <w:color w:val="auto"/>
                <w:kern w:val="0"/>
                <w:szCs w:val="21"/>
                <w:highlight w:val="none"/>
              </w:rPr>
              <w:t>（由评委审查，无需</w:t>
            </w:r>
            <w:r>
              <w:rPr>
                <w:rFonts w:hint="eastAsia" w:asciiTheme="minorEastAsia" w:hAnsiTheme="minorEastAsia"/>
                <w:color w:val="auto"/>
                <w:kern w:val="0"/>
                <w:szCs w:val="21"/>
                <w:highlight w:val="none"/>
              </w:rPr>
              <w:t>投标供应商</w:t>
            </w:r>
            <w:r>
              <w:rPr>
                <w:rFonts w:asciiTheme="minorEastAsia" w:hAnsiTheme="minorEastAsia"/>
                <w:color w:val="auto"/>
                <w:kern w:val="0"/>
                <w:szCs w:val="21"/>
                <w:highlight w:val="none"/>
              </w:rPr>
              <w:t>提供材料）</w:t>
            </w:r>
          </w:p>
        </w:tc>
      </w:tr>
      <w:tr w14:paraId="01607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0FBF659C">
            <w:pPr>
              <w:jc w:val="left"/>
              <w:rPr>
                <w:rFonts w:asciiTheme="minorEastAsia" w:hAnsiTheme="minorEastAsia"/>
                <w:color w:val="auto"/>
                <w:szCs w:val="21"/>
                <w:highlight w:val="none"/>
              </w:rPr>
            </w:pPr>
            <w:r>
              <w:rPr>
                <w:rFonts w:hint="eastAsia" w:asciiTheme="minorEastAsia" w:hAnsiTheme="minorEastAsia"/>
                <w:color w:val="auto"/>
                <w:szCs w:val="21"/>
                <w:highlight w:val="none"/>
              </w:rPr>
              <w:t>7</w:t>
            </w:r>
          </w:p>
        </w:tc>
        <w:tc>
          <w:tcPr>
            <w:tcW w:w="1331" w:type="pct"/>
            <w:vAlign w:val="center"/>
          </w:tcPr>
          <w:p w14:paraId="6BBE762B">
            <w:pPr>
              <w:jc w:val="left"/>
              <w:rPr>
                <w:rFonts w:asciiTheme="minorEastAsia" w:hAnsiTheme="minorEastAsia"/>
                <w:color w:val="auto"/>
                <w:szCs w:val="21"/>
                <w:highlight w:val="none"/>
              </w:rPr>
            </w:pPr>
            <w:r>
              <w:rPr>
                <w:rFonts w:hint="eastAsia" w:asciiTheme="minorEastAsia" w:hAnsiTheme="minorEastAsia"/>
                <w:color w:val="auto"/>
                <w:szCs w:val="21"/>
                <w:highlight w:val="none"/>
              </w:rPr>
              <w:t>实质性格式</w:t>
            </w:r>
          </w:p>
        </w:tc>
        <w:tc>
          <w:tcPr>
            <w:tcW w:w="3284" w:type="pct"/>
            <w:vAlign w:val="center"/>
          </w:tcPr>
          <w:p w14:paraId="238D1FC5">
            <w:pPr>
              <w:jc w:val="left"/>
              <w:rPr>
                <w:rFonts w:asciiTheme="minorEastAsia" w:hAnsiTheme="minorEastAsia"/>
                <w:color w:val="auto"/>
                <w:szCs w:val="21"/>
                <w:highlight w:val="none"/>
              </w:rPr>
            </w:pPr>
            <w:r>
              <w:rPr>
                <w:rFonts w:hint="eastAsia" w:asciiTheme="minorEastAsia" w:hAnsiTheme="minorEastAsia"/>
                <w:color w:val="auto"/>
                <w:szCs w:val="21"/>
                <w:highlight w:val="none"/>
              </w:rPr>
              <w:t>标记为</w:t>
            </w:r>
            <w:r>
              <w:rPr>
                <w:rFonts w:asciiTheme="minorEastAsia" w:hAnsiTheme="minorEastAsia"/>
                <w:color w:val="auto"/>
                <w:szCs w:val="21"/>
                <w:highlight w:val="none"/>
              </w:rPr>
              <w:t>“实质性格式”的</w:t>
            </w:r>
            <w:r>
              <w:rPr>
                <w:rFonts w:hint="eastAsia" w:asciiTheme="minorEastAsia" w:hAnsiTheme="minorEastAsia"/>
                <w:color w:val="auto"/>
                <w:szCs w:val="21"/>
                <w:highlight w:val="none"/>
              </w:rPr>
              <w:t>文件均按</w:t>
            </w:r>
            <w:r>
              <w:rPr>
                <w:rFonts w:asciiTheme="minorEastAsia" w:hAnsiTheme="minorEastAsia"/>
                <w:color w:val="auto"/>
                <w:szCs w:val="21"/>
                <w:highlight w:val="none"/>
              </w:rPr>
              <w:t>磋商文件</w:t>
            </w:r>
            <w:r>
              <w:rPr>
                <w:rFonts w:hint="eastAsia" w:asciiTheme="minorEastAsia" w:hAnsiTheme="minorEastAsia"/>
                <w:color w:val="auto"/>
                <w:szCs w:val="21"/>
                <w:highlight w:val="none"/>
              </w:rPr>
              <w:t>要求提供；</w:t>
            </w:r>
          </w:p>
        </w:tc>
      </w:tr>
      <w:tr w14:paraId="6825E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6DCFBDCC">
            <w:pPr>
              <w:jc w:val="left"/>
              <w:rPr>
                <w:rFonts w:asciiTheme="minorEastAsia" w:hAnsiTheme="minorEastAsia"/>
                <w:color w:val="auto"/>
                <w:szCs w:val="21"/>
                <w:highlight w:val="none"/>
              </w:rPr>
            </w:pPr>
            <w:r>
              <w:rPr>
                <w:rFonts w:asciiTheme="minorEastAsia" w:hAnsiTheme="minorEastAsia"/>
                <w:color w:val="auto"/>
                <w:szCs w:val="21"/>
                <w:highlight w:val="none"/>
              </w:rPr>
              <w:t>8</w:t>
            </w:r>
          </w:p>
        </w:tc>
        <w:tc>
          <w:tcPr>
            <w:tcW w:w="1331" w:type="pct"/>
            <w:vAlign w:val="center"/>
          </w:tcPr>
          <w:p w14:paraId="157A9FB3">
            <w:pPr>
              <w:jc w:val="left"/>
              <w:rPr>
                <w:rFonts w:asciiTheme="minorEastAsia" w:hAnsiTheme="minorEastAsia"/>
                <w:color w:val="auto"/>
                <w:szCs w:val="21"/>
                <w:highlight w:val="none"/>
              </w:rPr>
            </w:pPr>
            <w:r>
              <w:rPr>
                <w:rFonts w:asciiTheme="minorEastAsia" w:hAnsiTheme="minorEastAsia"/>
                <w:color w:val="auto"/>
                <w:szCs w:val="21"/>
                <w:highlight w:val="none"/>
              </w:rPr>
              <w:t>★号条款响应</w:t>
            </w:r>
          </w:p>
        </w:tc>
        <w:tc>
          <w:tcPr>
            <w:tcW w:w="3284" w:type="pct"/>
            <w:vAlign w:val="center"/>
          </w:tcPr>
          <w:p w14:paraId="199783DA">
            <w:pPr>
              <w:jc w:val="left"/>
              <w:rPr>
                <w:rFonts w:asciiTheme="minorEastAsia" w:hAnsiTheme="minorEastAsia"/>
                <w:color w:val="auto"/>
                <w:szCs w:val="21"/>
                <w:highlight w:val="none"/>
              </w:rPr>
            </w:pPr>
            <w:r>
              <w:rPr>
                <w:rFonts w:asciiTheme="minorEastAsia" w:hAnsiTheme="minorEastAsia"/>
                <w:color w:val="auto"/>
                <w:szCs w:val="21"/>
                <w:highlight w:val="none"/>
              </w:rPr>
              <w:t>响应文件满足磋商文件第</w:t>
            </w:r>
            <w:r>
              <w:rPr>
                <w:rFonts w:hint="eastAsia" w:asciiTheme="minorEastAsia" w:hAnsiTheme="minorEastAsia"/>
                <w:color w:val="auto"/>
                <w:szCs w:val="21"/>
                <w:highlight w:val="none"/>
              </w:rPr>
              <w:t>四</w:t>
            </w:r>
            <w:r>
              <w:rPr>
                <w:rFonts w:asciiTheme="minorEastAsia" w:hAnsiTheme="minorEastAsia"/>
                <w:color w:val="auto"/>
                <w:szCs w:val="21"/>
                <w:highlight w:val="none"/>
              </w:rPr>
              <w:t>章《采购需求》中★号条款要求的；</w:t>
            </w:r>
            <w:r>
              <w:rPr>
                <w:rFonts w:asciiTheme="minorEastAsia" w:hAnsiTheme="minorEastAsia"/>
                <w:b/>
                <w:color w:val="auto"/>
                <w:kern w:val="0"/>
                <w:szCs w:val="21"/>
                <w:highlight w:val="none"/>
              </w:rPr>
              <w:t>（如《采购需求》中有★号条款要求的，按照序号逐项提供相关证明材料；如《采购需求》中</w:t>
            </w:r>
            <w:r>
              <w:rPr>
                <w:rFonts w:hint="eastAsia" w:asciiTheme="minorEastAsia" w:hAnsiTheme="minorEastAsia"/>
                <w:b/>
                <w:color w:val="auto"/>
                <w:kern w:val="0"/>
                <w:szCs w:val="21"/>
                <w:highlight w:val="none"/>
              </w:rPr>
              <w:t>没</w:t>
            </w:r>
            <w:r>
              <w:rPr>
                <w:rFonts w:asciiTheme="minorEastAsia" w:hAnsiTheme="minorEastAsia"/>
                <w:b/>
                <w:color w:val="auto"/>
                <w:kern w:val="0"/>
                <w:szCs w:val="21"/>
                <w:highlight w:val="none"/>
              </w:rPr>
              <w:t>有★号条款要求的，则无需</w:t>
            </w:r>
            <w:r>
              <w:rPr>
                <w:rFonts w:hint="eastAsia" w:asciiTheme="minorEastAsia" w:hAnsiTheme="minorEastAsia"/>
                <w:b/>
                <w:color w:val="auto"/>
                <w:kern w:val="0"/>
                <w:szCs w:val="21"/>
                <w:highlight w:val="none"/>
              </w:rPr>
              <w:t>投标供应商</w:t>
            </w:r>
            <w:r>
              <w:rPr>
                <w:rFonts w:asciiTheme="minorEastAsia" w:hAnsiTheme="minorEastAsia"/>
                <w:b/>
                <w:color w:val="auto"/>
                <w:kern w:val="0"/>
                <w:szCs w:val="21"/>
                <w:highlight w:val="none"/>
              </w:rPr>
              <w:t>提供）</w:t>
            </w:r>
          </w:p>
        </w:tc>
      </w:tr>
      <w:tr w14:paraId="26BDA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3926453D">
            <w:pPr>
              <w:jc w:val="left"/>
              <w:rPr>
                <w:rFonts w:asciiTheme="minorEastAsia" w:hAnsiTheme="minorEastAsia"/>
                <w:color w:val="auto"/>
                <w:szCs w:val="21"/>
                <w:highlight w:val="none"/>
              </w:rPr>
            </w:pPr>
            <w:r>
              <w:rPr>
                <w:rFonts w:asciiTheme="minorEastAsia" w:hAnsiTheme="minorEastAsia"/>
                <w:color w:val="auto"/>
                <w:szCs w:val="21"/>
                <w:highlight w:val="none"/>
              </w:rPr>
              <w:t>9</w:t>
            </w:r>
          </w:p>
        </w:tc>
        <w:tc>
          <w:tcPr>
            <w:tcW w:w="1331" w:type="pct"/>
            <w:vAlign w:val="center"/>
          </w:tcPr>
          <w:p w14:paraId="08E8E9A5">
            <w:pPr>
              <w:jc w:val="left"/>
              <w:rPr>
                <w:rFonts w:asciiTheme="minorEastAsia" w:hAnsiTheme="minorEastAsia"/>
                <w:color w:val="auto"/>
                <w:szCs w:val="21"/>
                <w:highlight w:val="none"/>
              </w:rPr>
            </w:pPr>
            <w:r>
              <w:rPr>
                <w:rFonts w:asciiTheme="minorEastAsia" w:hAnsiTheme="minorEastAsia"/>
                <w:color w:val="auto"/>
                <w:szCs w:val="21"/>
                <w:highlight w:val="none"/>
              </w:rPr>
              <w:t>分包承担主体资质（如有）</w:t>
            </w:r>
          </w:p>
        </w:tc>
        <w:tc>
          <w:tcPr>
            <w:tcW w:w="3284" w:type="pct"/>
            <w:vAlign w:val="center"/>
          </w:tcPr>
          <w:p w14:paraId="05DC6C9E">
            <w:pPr>
              <w:jc w:val="left"/>
              <w:rPr>
                <w:rFonts w:asciiTheme="minorEastAsia" w:hAnsiTheme="minorEastAsia"/>
                <w:color w:val="auto"/>
                <w:szCs w:val="21"/>
                <w:highlight w:val="none"/>
              </w:rPr>
            </w:pPr>
            <w:r>
              <w:rPr>
                <w:rFonts w:asciiTheme="minorEastAsia" w:hAnsiTheme="minorEastAsia"/>
                <w:color w:val="auto"/>
                <w:szCs w:val="21"/>
                <w:highlight w:val="none"/>
              </w:rPr>
              <w:t>分包承担主体具备《供应商须知资料表》载明的资质条件</w:t>
            </w:r>
            <w:r>
              <w:rPr>
                <w:rFonts w:hint="eastAsia" w:asciiTheme="minorEastAsia" w:hAnsiTheme="minorEastAsia"/>
                <w:color w:val="auto"/>
                <w:szCs w:val="21"/>
                <w:highlight w:val="none"/>
              </w:rPr>
              <w:t>且</w:t>
            </w:r>
            <w:r>
              <w:rPr>
                <w:rFonts w:asciiTheme="minorEastAsia" w:hAnsiTheme="minorEastAsia"/>
                <w:color w:val="auto"/>
                <w:szCs w:val="21"/>
                <w:highlight w:val="none"/>
              </w:rPr>
              <w:t>提供</w:t>
            </w:r>
            <w:r>
              <w:rPr>
                <w:rFonts w:hint="eastAsia" w:asciiTheme="minorEastAsia" w:hAnsiTheme="minorEastAsia"/>
                <w:color w:val="auto"/>
                <w:szCs w:val="21"/>
                <w:highlight w:val="none"/>
              </w:rPr>
              <w:t>了</w:t>
            </w:r>
            <w:r>
              <w:rPr>
                <w:rFonts w:asciiTheme="minorEastAsia" w:hAnsiTheme="minorEastAsia"/>
                <w:color w:val="auto"/>
                <w:szCs w:val="21"/>
                <w:highlight w:val="none"/>
              </w:rPr>
              <w:t>资质证书</w:t>
            </w:r>
            <w:r>
              <w:rPr>
                <w:rFonts w:hint="eastAsia" w:asciiTheme="minorEastAsia" w:hAnsiTheme="minorEastAsia"/>
                <w:color w:val="auto"/>
                <w:szCs w:val="21"/>
                <w:highlight w:val="none"/>
              </w:rPr>
              <w:t>（如有）</w:t>
            </w:r>
            <w:r>
              <w:rPr>
                <w:rFonts w:asciiTheme="minorEastAsia" w:hAnsiTheme="minorEastAsia"/>
                <w:color w:val="auto"/>
                <w:szCs w:val="21"/>
                <w:highlight w:val="none"/>
              </w:rPr>
              <w:t>；</w:t>
            </w:r>
          </w:p>
        </w:tc>
      </w:tr>
      <w:tr w14:paraId="37379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0BA43B0E">
            <w:pPr>
              <w:jc w:val="left"/>
              <w:rPr>
                <w:rFonts w:asciiTheme="minorEastAsia" w:hAnsiTheme="minorEastAsia"/>
                <w:color w:val="auto"/>
                <w:szCs w:val="21"/>
                <w:highlight w:val="none"/>
              </w:rPr>
            </w:pPr>
            <w:r>
              <w:rPr>
                <w:rFonts w:asciiTheme="minorEastAsia" w:hAnsiTheme="minorEastAsia"/>
                <w:color w:val="auto"/>
                <w:szCs w:val="21"/>
                <w:highlight w:val="none"/>
              </w:rPr>
              <w:t>10</w:t>
            </w:r>
          </w:p>
        </w:tc>
        <w:tc>
          <w:tcPr>
            <w:tcW w:w="1331" w:type="pct"/>
            <w:vAlign w:val="center"/>
          </w:tcPr>
          <w:p w14:paraId="02C93183">
            <w:pPr>
              <w:jc w:val="left"/>
              <w:rPr>
                <w:rFonts w:asciiTheme="minorEastAsia" w:hAnsiTheme="minorEastAsia"/>
                <w:color w:val="auto"/>
                <w:szCs w:val="21"/>
                <w:highlight w:val="none"/>
              </w:rPr>
            </w:pPr>
            <w:r>
              <w:rPr>
                <w:rFonts w:asciiTheme="minorEastAsia" w:hAnsiTheme="minorEastAsia"/>
                <w:color w:val="auto"/>
                <w:szCs w:val="21"/>
                <w:highlight w:val="none"/>
              </w:rPr>
              <w:t>分包意向协议</w:t>
            </w:r>
          </w:p>
          <w:p w14:paraId="53B1D0FF">
            <w:pPr>
              <w:jc w:val="left"/>
              <w:rPr>
                <w:rFonts w:asciiTheme="minorEastAsia" w:hAnsiTheme="minorEastAsia"/>
                <w:color w:val="auto"/>
                <w:szCs w:val="21"/>
                <w:highlight w:val="none"/>
              </w:rPr>
            </w:pPr>
            <w:r>
              <w:rPr>
                <w:rFonts w:asciiTheme="minorEastAsia" w:hAnsiTheme="minorEastAsia"/>
                <w:color w:val="auto"/>
                <w:szCs w:val="21"/>
                <w:highlight w:val="none"/>
              </w:rPr>
              <w:t>（如有）</w:t>
            </w:r>
          </w:p>
        </w:tc>
        <w:tc>
          <w:tcPr>
            <w:tcW w:w="3284" w:type="pct"/>
            <w:vAlign w:val="center"/>
          </w:tcPr>
          <w:p w14:paraId="7F56D08D">
            <w:pPr>
              <w:jc w:val="left"/>
              <w:rPr>
                <w:rFonts w:asciiTheme="minorEastAsia" w:hAnsiTheme="minorEastAsia"/>
                <w:color w:val="auto"/>
                <w:szCs w:val="21"/>
                <w:highlight w:val="none"/>
              </w:rPr>
            </w:pPr>
            <w:r>
              <w:rPr>
                <w:rFonts w:asciiTheme="minorEastAsia" w:hAnsiTheme="minorEastAsia"/>
                <w:color w:val="auto"/>
                <w:szCs w:val="21"/>
                <w:highlight w:val="none"/>
              </w:rPr>
              <w:t>按磋商文件规定签订并提供分包意向协议原件；</w:t>
            </w:r>
            <w:r>
              <w:rPr>
                <w:rFonts w:hint="eastAsia" w:asciiTheme="minorEastAsia" w:hAnsiTheme="minorEastAsia"/>
                <w:color w:val="auto"/>
                <w:szCs w:val="21"/>
                <w:highlight w:val="none"/>
              </w:rPr>
              <w:t>（如有）</w:t>
            </w:r>
          </w:p>
        </w:tc>
      </w:tr>
      <w:tr w14:paraId="18487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436ED1EB">
            <w:pPr>
              <w:jc w:val="left"/>
              <w:rPr>
                <w:rFonts w:asciiTheme="minorEastAsia" w:hAnsiTheme="minorEastAsia"/>
                <w:color w:val="auto"/>
                <w:szCs w:val="21"/>
                <w:highlight w:val="none"/>
              </w:rPr>
            </w:pPr>
            <w:r>
              <w:rPr>
                <w:rFonts w:asciiTheme="minorEastAsia" w:hAnsiTheme="minorEastAsia"/>
                <w:color w:val="auto"/>
                <w:szCs w:val="21"/>
                <w:highlight w:val="none"/>
              </w:rPr>
              <w:t>11</w:t>
            </w:r>
          </w:p>
        </w:tc>
        <w:tc>
          <w:tcPr>
            <w:tcW w:w="1331" w:type="pct"/>
            <w:vAlign w:val="center"/>
          </w:tcPr>
          <w:p w14:paraId="6CF4D100">
            <w:pPr>
              <w:jc w:val="left"/>
              <w:rPr>
                <w:rFonts w:asciiTheme="minorEastAsia" w:hAnsiTheme="minorEastAsia"/>
                <w:color w:val="auto"/>
                <w:szCs w:val="21"/>
                <w:highlight w:val="none"/>
              </w:rPr>
            </w:pPr>
            <w:r>
              <w:rPr>
                <w:rFonts w:asciiTheme="minorEastAsia" w:hAnsiTheme="minorEastAsia"/>
                <w:color w:val="auto"/>
                <w:szCs w:val="21"/>
                <w:highlight w:val="none"/>
              </w:rPr>
              <w:t>报价的修正（如有）</w:t>
            </w:r>
          </w:p>
        </w:tc>
        <w:tc>
          <w:tcPr>
            <w:tcW w:w="3284" w:type="pct"/>
            <w:vAlign w:val="center"/>
          </w:tcPr>
          <w:p w14:paraId="3A76E420">
            <w:pPr>
              <w:jc w:val="left"/>
              <w:rPr>
                <w:rFonts w:asciiTheme="minorEastAsia" w:hAnsiTheme="minorEastAsia"/>
                <w:color w:val="auto"/>
                <w:szCs w:val="21"/>
                <w:highlight w:val="none"/>
              </w:rPr>
            </w:pPr>
            <w:r>
              <w:rPr>
                <w:rFonts w:hint="eastAsia" w:asciiTheme="minorEastAsia" w:hAnsiTheme="minorEastAsia"/>
                <w:color w:val="auto"/>
                <w:szCs w:val="21"/>
                <w:highlight w:val="none"/>
              </w:rPr>
              <w:t>不涉及报价修正</w:t>
            </w:r>
            <w:r>
              <w:rPr>
                <w:rFonts w:asciiTheme="minorEastAsia" w:hAnsiTheme="minorEastAsia"/>
                <w:color w:val="auto"/>
                <w:szCs w:val="21"/>
                <w:highlight w:val="none"/>
              </w:rPr>
              <w:t>，或响应文件报价出现前后不一致</w:t>
            </w:r>
            <w:r>
              <w:rPr>
                <w:rFonts w:hint="eastAsia" w:asciiTheme="minorEastAsia" w:hAnsiTheme="minorEastAsia"/>
                <w:color w:val="auto"/>
                <w:szCs w:val="21"/>
                <w:highlight w:val="none"/>
              </w:rPr>
              <w:t>时</w:t>
            </w:r>
            <w:r>
              <w:rPr>
                <w:rFonts w:asciiTheme="minorEastAsia" w:hAnsiTheme="minorEastAsia"/>
                <w:color w:val="auto"/>
                <w:szCs w:val="21"/>
                <w:highlight w:val="none"/>
              </w:rPr>
              <w:t>，供应商对修正后的报价予</w:t>
            </w:r>
            <w:r>
              <w:rPr>
                <w:rFonts w:hint="eastAsia" w:asciiTheme="minorEastAsia" w:hAnsiTheme="minorEastAsia"/>
                <w:color w:val="auto"/>
                <w:szCs w:val="21"/>
                <w:highlight w:val="none"/>
              </w:rPr>
              <w:t>以</w:t>
            </w:r>
            <w:r>
              <w:rPr>
                <w:rFonts w:asciiTheme="minorEastAsia" w:hAnsiTheme="minorEastAsia"/>
                <w:color w:val="auto"/>
                <w:szCs w:val="21"/>
                <w:highlight w:val="none"/>
              </w:rPr>
              <w:t>确认；</w:t>
            </w:r>
            <w:r>
              <w:rPr>
                <w:rFonts w:asciiTheme="minorEastAsia" w:hAnsiTheme="minorEastAsia"/>
                <w:color w:val="auto"/>
                <w:kern w:val="0"/>
                <w:szCs w:val="21"/>
                <w:highlight w:val="none"/>
              </w:rPr>
              <w:t>（如有，由评委审查，无需投标供应商提供材料）</w:t>
            </w:r>
          </w:p>
        </w:tc>
      </w:tr>
      <w:tr w14:paraId="008E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4713257E">
            <w:pPr>
              <w:jc w:val="left"/>
              <w:rPr>
                <w:rFonts w:asciiTheme="minorEastAsia" w:hAnsiTheme="minorEastAsia"/>
                <w:color w:val="auto"/>
                <w:szCs w:val="21"/>
                <w:highlight w:val="none"/>
              </w:rPr>
            </w:pPr>
            <w:r>
              <w:rPr>
                <w:rFonts w:hint="eastAsia" w:asciiTheme="minorEastAsia" w:hAnsiTheme="minorEastAsia"/>
                <w:color w:val="auto"/>
                <w:szCs w:val="21"/>
                <w:highlight w:val="none"/>
              </w:rPr>
              <w:t>1</w:t>
            </w:r>
            <w:r>
              <w:rPr>
                <w:rFonts w:asciiTheme="minorEastAsia" w:hAnsiTheme="minorEastAsia"/>
                <w:color w:val="auto"/>
                <w:szCs w:val="21"/>
                <w:highlight w:val="none"/>
              </w:rPr>
              <w:t>2</w:t>
            </w:r>
          </w:p>
        </w:tc>
        <w:tc>
          <w:tcPr>
            <w:tcW w:w="1331" w:type="pct"/>
            <w:vAlign w:val="center"/>
          </w:tcPr>
          <w:p w14:paraId="037261A7">
            <w:pPr>
              <w:jc w:val="left"/>
              <w:rPr>
                <w:rFonts w:asciiTheme="minorEastAsia" w:hAnsiTheme="minorEastAsia"/>
                <w:color w:val="auto"/>
                <w:szCs w:val="21"/>
                <w:highlight w:val="none"/>
              </w:rPr>
            </w:pPr>
            <w:r>
              <w:rPr>
                <w:rFonts w:asciiTheme="minorEastAsia" w:hAnsiTheme="minorEastAsia"/>
                <w:color w:val="auto"/>
                <w:kern w:val="0"/>
                <w:szCs w:val="21"/>
                <w:highlight w:val="none"/>
              </w:rPr>
              <w:t>报价合理性</w:t>
            </w:r>
          </w:p>
        </w:tc>
        <w:tc>
          <w:tcPr>
            <w:tcW w:w="3284" w:type="pct"/>
            <w:vAlign w:val="center"/>
          </w:tcPr>
          <w:p w14:paraId="104B98BF">
            <w:pPr>
              <w:jc w:val="left"/>
              <w:rPr>
                <w:rFonts w:asciiTheme="minorEastAsia" w:hAnsiTheme="minorEastAsia"/>
                <w:color w:val="auto"/>
                <w:szCs w:val="21"/>
                <w:highlight w:val="none"/>
              </w:rPr>
            </w:pPr>
            <w:r>
              <w:rPr>
                <w:rFonts w:asciiTheme="minorEastAsia" w:hAnsiTheme="minorEastAsia"/>
                <w:color w:val="auto"/>
                <w:szCs w:val="21"/>
                <w:highlight w:val="none"/>
              </w:rPr>
              <w:t>报价合理，或</w:t>
            </w:r>
            <w:r>
              <w:rPr>
                <w:rFonts w:hint="eastAsia" w:asciiTheme="minorEastAsia" w:hAnsiTheme="minorEastAsia"/>
                <w:color w:val="auto"/>
                <w:szCs w:val="21"/>
                <w:highlight w:val="none"/>
              </w:rPr>
              <w:t>投标供应商的报价明显低于其他通过符合性审查投标供应商的报价，</w:t>
            </w:r>
            <w:r>
              <w:rPr>
                <w:rFonts w:asciiTheme="minorEastAsia" w:hAnsiTheme="minorEastAsia"/>
                <w:color w:val="auto"/>
                <w:szCs w:val="21"/>
                <w:highlight w:val="none"/>
              </w:rPr>
              <w:t>有可能影响产品质量或者不能诚信履约的</w:t>
            </w:r>
            <w:r>
              <w:rPr>
                <w:rFonts w:hint="eastAsia" w:asciiTheme="minorEastAsia" w:hAnsiTheme="minorEastAsia"/>
                <w:color w:val="auto"/>
                <w:szCs w:val="21"/>
                <w:highlight w:val="none"/>
              </w:rPr>
              <w:t>，能够应评标委员会要求在规定时间内证明其报价合理性的</w:t>
            </w:r>
            <w:r>
              <w:rPr>
                <w:rFonts w:asciiTheme="minorEastAsia" w:hAnsiTheme="minorEastAsia"/>
                <w:color w:val="auto"/>
                <w:szCs w:val="21"/>
                <w:highlight w:val="none"/>
              </w:rPr>
              <w:t>；（由评委审查，无需投标供应商提供材料）</w:t>
            </w:r>
          </w:p>
        </w:tc>
      </w:tr>
      <w:tr w14:paraId="0BA19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55C6E3C0">
            <w:pPr>
              <w:jc w:val="left"/>
              <w:rPr>
                <w:rFonts w:asciiTheme="minorEastAsia" w:hAnsiTheme="minorEastAsia"/>
                <w:color w:val="auto"/>
                <w:szCs w:val="21"/>
                <w:highlight w:val="none"/>
              </w:rPr>
            </w:pPr>
            <w:r>
              <w:rPr>
                <w:rFonts w:asciiTheme="minorEastAsia" w:hAnsiTheme="minorEastAsia"/>
                <w:color w:val="auto"/>
                <w:szCs w:val="21"/>
                <w:highlight w:val="none"/>
              </w:rPr>
              <w:t>13</w:t>
            </w:r>
          </w:p>
        </w:tc>
        <w:tc>
          <w:tcPr>
            <w:tcW w:w="1331" w:type="pct"/>
            <w:vAlign w:val="center"/>
          </w:tcPr>
          <w:p w14:paraId="3CB2A6C8">
            <w:pPr>
              <w:jc w:val="left"/>
              <w:rPr>
                <w:rFonts w:asciiTheme="minorEastAsia" w:hAnsiTheme="minorEastAsia"/>
                <w:color w:val="auto"/>
                <w:szCs w:val="21"/>
                <w:highlight w:val="none"/>
              </w:rPr>
            </w:pPr>
            <w:r>
              <w:rPr>
                <w:rFonts w:asciiTheme="minorEastAsia" w:hAnsiTheme="minorEastAsia"/>
                <w:color w:val="auto"/>
                <w:szCs w:val="21"/>
                <w:highlight w:val="none"/>
              </w:rPr>
              <w:t>进口产品</w:t>
            </w:r>
          </w:p>
          <w:p w14:paraId="60DF7F69">
            <w:pPr>
              <w:jc w:val="left"/>
              <w:rPr>
                <w:rFonts w:asciiTheme="minorEastAsia" w:hAnsiTheme="minorEastAsia"/>
                <w:color w:val="auto"/>
                <w:szCs w:val="21"/>
                <w:highlight w:val="none"/>
              </w:rPr>
            </w:pPr>
            <w:r>
              <w:rPr>
                <w:rFonts w:asciiTheme="minorEastAsia" w:hAnsiTheme="minorEastAsia"/>
                <w:color w:val="auto"/>
                <w:szCs w:val="21"/>
                <w:highlight w:val="none"/>
              </w:rPr>
              <w:t>（如有）</w:t>
            </w:r>
          </w:p>
        </w:tc>
        <w:tc>
          <w:tcPr>
            <w:tcW w:w="3284" w:type="pct"/>
            <w:vAlign w:val="center"/>
          </w:tcPr>
          <w:p w14:paraId="19B028AF">
            <w:pPr>
              <w:jc w:val="left"/>
              <w:rPr>
                <w:rFonts w:asciiTheme="minorEastAsia" w:hAnsiTheme="minorEastAsia"/>
                <w:color w:val="auto"/>
                <w:szCs w:val="21"/>
                <w:highlight w:val="none"/>
              </w:rPr>
            </w:pPr>
            <w:r>
              <w:rPr>
                <w:rFonts w:hint="eastAsia" w:asciiTheme="minorEastAsia" w:hAnsiTheme="minorEastAsia"/>
                <w:color w:val="auto"/>
                <w:szCs w:val="21"/>
                <w:highlight w:val="none"/>
              </w:rPr>
              <w:t>磋商文件</w:t>
            </w:r>
            <w:r>
              <w:rPr>
                <w:rFonts w:asciiTheme="minorEastAsia" w:hAnsiTheme="minorEastAsia"/>
                <w:color w:val="auto"/>
                <w:szCs w:val="21"/>
                <w:highlight w:val="none"/>
              </w:rPr>
              <w:t>不接受进口产品响应</w:t>
            </w:r>
            <w:r>
              <w:rPr>
                <w:rFonts w:hint="eastAsia" w:asciiTheme="minorEastAsia" w:hAnsiTheme="minorEastAsia"/>
                <w:color w:val="auto"/>
                <w:szCs w:val="21"/>
                <w:highlight w:val="none"/>
              </w:rPr>
              <w:t>的内容时</w:t>
            </w:r>
            <w:r>
              <w:rPr>
                <w:rFonts w:asciiTheme="minorEastAsia" w:hAnsiTheme="minorEastAsia"/>
                <w:color w:val="auto"/>
                <w:szCs w:val="21"/>
                <w:highlight w:val="none"/>
              </w:rPr>
              <w:t>，</w:t>
            </w:r>
            <w:r>
              <w:rPr>
                <w:rFonts w:hint="eastAsia" w:asciiTheme="minorEastAsia" w:hAnsiTheme="minorEastAsia"/>
                <w:color w:val="auto"/>
                <w:szCs w:val="21"/>
                <w:highlight w:val="none"/>
              </w:rPr>
              <w:t>供应商所投产品非进口产品的；</w:t>
            </w:r>
          </w:p>
        </w:tc>
      </w:tr>
      <w:tr w14:paraId="5CD6D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16F23C6D">
            <w:pPr>
              <w:jc w:val="left"/>
              <w:rPr>
                <w:rFonts w:asciiTheme="minorEastAsia" w:hAnsiTheme="minorEastAsia"/>
                <w:color w:val="auto"/>
                <w:szCs w:val="21"/>
                <w:highlight w:val="none"/>
              </w:rPr>
            </w:pPr>
            <w:r>
              <w:rPr>
                <w:rFonts w:asciiTheme="minorEastAsia" w:hAnsiTheme="minorEastAsia"/>
                <w:color w:val="auto"/>
                <w:szCs w:val="21"/>
                <w:highlight w:val="none"/>
              </w:rPr>
              <w:t>14</w:t>
            </w:r>
          </w:p>
        </w:tc>
        <w:tc>
          <w:tcPr>
            <w:tcW w:w="1331" w:type="pct"/>
            <w:vAlign w:val="center"/>
          </w:tcPr>
          <w:p w14:paraId="28F9F716">
            <w:pPr>
              <w:jc w:val="left"/>
              <w:rPr>
                <w:rFonts w:asciiTheme="minorEastAsia" w:hAnsiTheme="minorEastAsia"/>
                <w:color w:val="auto"/>
                <w:szCs w:val="21"/>
                <w:highlight w:val="none"/>
              </w:rPr>
            </w:pPr>
            <w:r>
              <w:rPr>
                <w:rFonts w:asciiTheme="minorEastAsia" w:hAnsiTheme="minorEastAsia"/>
                <w:color w:val="auto"/>
                <w:szCs w:val="21"/>
                <w:highlight w:val="none"/>
              </w:rPr>
              <w:t>国家有关部门对供应商的响应产品有强制性规定或要求的</w:t>
            </w:r>
          </w:p>
        </w:tc>
        <w:tc>
          <w:tcPr>
            <w:tcW w:w="3284" w:type="pct"/>
            <w:vAlign w:val="center"/>
          </w:tcPr>
          <w:p w14:paraId="75B61D62">
            <w:pPr>
              <w:jc w:val="left"/>
              <w:rPr>
                <w:rFonts w:asciiTheme="minorEastAsia" w:hAnsiTheme="minorEastAsia"/>
                <w:color w:val="auto"/>
                <w:szCs w:val="21"/>
                <w:highlight w:val="none"/>
              </w:rPr>
            </w:pPr>
            <w:r>
              <w:rPr>
                <w:rFonts w:asciiTheme="minorEastAsia" w:hAnsiTheme="minorEastAsia"/>
                <w:color w:val="auto"/>
                <w:szCs w:val="21"/>
                <w:highlight w:val="none"/>
              </w:rPr>
              <w:t>国家有关部门对供应商的响应产品有强制性规定或要求的（如相应技术、安全、节能和环保等），供应商的响应产品</w:t>
            </w:r>
            <w:r>
              <w:rPr>
                <w:rFonts w:hint="eastAsia" w:asciiTheme="minorEastAsia" w:hAnsiTheme="minorEastAsia"/>
                <w:color w:val="auto"/>
                <w:szCs w:val="21"/>
                <w:highlight w:val="none"/>
              </w:rPr>
              <w:t>应</w:t>
            </w:r>
            <w:r>
              <w:rPr>
                <w:rFonts w:asciiTheme="minorEastAsia" w:hAnsiTheme="minorEastAsia"/>
                <w:color w:val="auto"/>
                <w:szCs w:val="21"/>
                <w:highlight w:val="none"/>
              </w:rPr>
              <w:t>符合相应规定或要求</w:t>
            </w:r>
            <w:r>
              <w:rPr>
                <w:rFonts w:hint="eastAsia" w:asciiTheme="minorEastAsia" w:hAnsiTheme="minorEastAsia"/>
                <w:color w:val="auto"/>
                <w:szCs w:val="21"/>
                <w:highlight w:val="none"/>
              </w:rPr>
              <w:t>，并提供证明文件：</w:t>
            </w:r>
          </w:p>
          <w:p w14:paraId="0F9019C6">
            <w:pPr>
              <w:jc w:val="left"/>
              <w:rPr>
                <w:rFonts w:asciiTheme="minorEastAsia" w:hAnsiTheme="minorEastAsia"/>
                <w:color w:val="auto"/>
                <w:szCs w:val="21"/>
                <w:highlight w:val="none"/>
              </w:rPr>
            </w:pPr>
            <w:r>
              <w:rPr>
                <w:rFonts w:hint="eastAsia" w:asciiTheme="minorEastAsia" w:hAnsiTheme="minorEastAsia"/>
                <w:color w:val="auto"/>
                <w:szCs w:val="21"/>
                <w:highlight w:val="none"/>
              </w:rPr>
              <w:t>1）</w:t>
            </w:r>
            <w:r>
              <w:rPr>
                <w:rFonts w:asciiTheme="minorEastAsia" w:hAnsiTheme="minorEastAsia"/>
                <w:color w:val="auto"/>
                <w:szCs w:val="21"/>
                <w:highlight w:val="none"/>
              </w:rPr>
              <w:t>采购的产品若属于《节能产品政府采购品目清单》范围中政府强制采购产品，则供应商所报产品必须获得国家确定的认证机构出具的、处于有效期之内的节能产品认证证书；</w:t>
            </w:r>
          </w:p>
          <w:p w14:paraId="02E8894C">
            <w:pPr>
              <w:jc w:val="left"/>
              <w:rPr>
                <w:rFonts w:asciiTheme="minorEastAsia" w:hAnsiTheme="minorEastAsia"/>
                <w:color w:val="auto"/>
                <w:szCs w:val="21"/>
                <w:highlight w:val="none"/>
              </w:rPr>
            </w:pPr>
            <w:r>
              <w:rPr>
                <w:rFonts w:hint="eastAsia" w:asciiTheme="minorEastAsia" w:hAnsiTheme="minorEastAsia"/>
                <w:color w:val="auto"/>
                <w:szCs w:val="21"/>
                <w:highlight w:val="none"/>
              </w:rPr>
              <w:t>2）</w:t>
            </w:r>
            <w:r>
              <w:rPr>
                <w:rFonts w:asciiTheme="minorEastAsia" w:hAnsiTheme="minorEastAsia"/>
                <w:color w:val="auto"/>
                <w:szCs w:val="21"/>
                <w:highlight w:val="none"/>
              </w:rPr>
              <w:t>响应产品如涉及计算机信息系统安全专用产品的，须</w:t>
            </w:r>
            <w:r>
              <w:rPr>
                <w:rFonts w:hint="eastAsia" w:asciiTheme="minorEastAsia" w:hAnsiTheme="minorEastAsia"/>
                <w:color w:val="auto"/>
                <w:szCs w:val="21"/>
                <w:highlight w:val="none"/>
              </w:rPr>
              <w:t>提供</w:t>
            </w:r>
            <w:r>
              <w:rPr>
                <w:rFonts w:asciiTheme="minorEastAsia" w:hAnsiTheme="minorEastAsia"/>
                <w:color w:val="auto"/>
                <w:szCs w:val="21"/>
                <w:highlight w:val="none"/>
              </w:rPr>
              <w:t>公安部颁发的计算机信息系统安全专用产品销售许可证；</w:t>
            </w:r>
          </w:p>
          <w:p w14:paraId="60F7BCA4">
            <w:pPr>
              <w:jc w:val="left"/>
              <w:rPr>
                <w:rFonts w:asciiTheme="minorEastAsia" w:hAnsiTheme="minorEastAsia"/>
                <w:color w:val="auto"/>
                <w:szCs w:val="21"/>
                <w:highlight w:val="none"/>
              </w:rPr>
            </w:pPr>
            <w:r>
              <w:rPr>
                <w:rFonts w:asciiTheme="minorEastAsia" w:hAnsiTheme="minorEastAsia"/>
                <w:color w:val="auto"/>
                <w:szCs w:val="21"/>
                <w:highlight w:val="none"/>
              </w:rPr>
              <w:t>3</w:t>
            </w:r>
            <w:r>
              <w:rPr>
                <w:rFonts w:hint="eastAsia" w:asciiTheme="minorEastAsia" w:hAnsiTheme="minorEastAsia"/>
                <w:color w:val="auto"/>
                <w:szCs w:val="21"/>
                <w:highlight w:val="none"/>
              </w:rPr>
              <w:t>）</w:t>
            </w:r>
            <w:r>
              <w:rPr>
                <w:rFonts w:asciiTheme="minorEastAsia" w:hAnsiTheme="minorEastAsia"/>
                <w:color w:val="auto"/>
                <w:szCs w:val="21"/>
                <w:highlight w:val="none"/>
              </w:rPr>
              <w:t>响应产品如有属于开展国家信息安全产品认证产品范围的，须</w:t>
            </w:r>
            <w:r>
              <w:rPr>
                <w:rFonts w:hint="eastAsia" w:asciiTheme="minorEastAsia" w:hAnsiTheme="minorEastAsia"/>
                <w:color w:val="auto"/>
                <w:szCs w:val="21"/>
                <w:highlight w:val="none"/>
              </w:rPr>
              <w:t>提供</w:t>
            </w:r>
            <w:r>
              <w:rPr>
                <w:rFonts w:asciiTheme="minorEastAsia" w:hAnsiTheme="minorEastAsia"/>
                <w:color w:val="auto"/>
                <w:szCs w:val="21"/>
                <w:highlight w:val="none"/>
              </w:rPr>
              <w:t>由中国网络安全审查技术与认证中心（原中国信息安全认证中心）按国家标准认证颁发的有效认证证书等）；</w:t>
            </w:r>
          </w:p>
          <w:p w14:paraId="10541A92">
            <w:pPr>
              <w:jc w:val="left"/>
              <w:rPr>
                <w:rFonts w:asciiTheme="minorEastAsia" w:hAnsiTheme="minorEastAsia"/>
                <w:color w:val="auto"/>
                <w:szCs w:val="21"/>
                <w:highlight w:val="none"/>
              </w:rPr>
            </w:pPr>
            <w:r>
              <w:rPr>
                <w:rFonts w:hint="eastAsia" w:asciiTheme="minorEastAsia" w:hAnsiTheme="minorEastAsia"/>
                <w:color w:val="auto"/>
                <w:szCs w:val="21"/>
                <w:highlight w:val="none"/>
              </w:rPr>
              <w:t>4）</w:t>
            </w:r>
            <w:r>
              <w:rPr>
                <w:rFonts w:asciiTheme="minorEastAsia" w:hAnsiTheme="minorEastAsia"/>
                <w:color w:val="auto"/>
                <w:szCs w:val="21"/>
                <w:highlight w:val="none"/>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105D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14B20CD1">
            <w:pPr>
              <w:jc w:val="left"/>
              <w:rPr>
                <w:rFonts w:asciiTheme="minorEastAsia" w:hAnsiTheme="minorEastAsia"/>
                <w:color w:val="auto"/>
                <w:szCs w:val="21"/>
                <w:highlight w:val="none"/>
              </w:rPr>
            </w:pPr>
            <w:r>
              <w:rPr>
                <w:rFonts w:asciiTheme="minorEastAsia" w:hAnsiTheme="minorEastAsia"/>
                <w:color w:val="auto"/>
                <w:szCs w:val="21"/>
                <w:highlight w:val="none"/>
              </w:rPr>
              <w:t>15</w:t>
            </w:r>
          </w:p>
        </w:tc>
        <w:tc>
          <w:tcPr>
            <w:tcW w:w="1331" w:type="pct"/>
            <w:vAlign w:val="center"/>
          </w:tcPr>
          <w:p w14:paraId="7BECBE27">
            <w:pPr>
              <w:jc w:val="left"/>
              <w:rPr>
                <w:rFonts w:asciiTheme="minorEastAsia" w:hAnsiTheme="minorEastAsia"/>
                <w:color w:val="auto"/>
                <w:szCs w:val="21"/>
                <w:highlight w:val="none"/>
              </w:rPr>
            </w:pPr>
            <w:r>
              <w:rPr>
                <w:rFonts w:asciiTheme="minorEastAsia" w:hAnsiTheme="minorEastAsia"/>
                <w:color w:val="auto"/>
                <w:szCs w:val="21"/>
                <w:highlight w:val="none"/>
              </w:rPr>
              <w:t>公平竞争</w:t>
            </w:r>
          </w:p>
        </w:tc>
        <w:tc>
          <w:tcPr>
            <w:tcW w:w="3284" w:type="pct"/>
            <w:vAlign w:val="center"/>
          </w:tcPr>
          <w:p w14:paraId="4BA7E29B">
            <w:pPr>
              <w:jc w:val="left"/>
              <w:rPr>
                <w:rFonts w:asciiTheme="minorEastAsia" w:hAnsiTheme="minorEastAsia"/>
                <w:color w:val="auto"/>
                <w:szCs w:val="21"/>
                <w:highlight w:val="none"/>
              </w:rPr>
            </w:pPr>
            <w:r>
              <w:rPr>
                <w:rFonts w:asciiTheme="minorEastAsia" w:hAnsiTheme="minorEastAsia"/>
                <w:color w:val="auto"/>
                <w:szCs w:val="21"/>
                <w:highlight w:val="none"/>
              </w:rPr>
              <w:t>供应商遵循公平竞争的原则，不存在恶意串通，妨碍其他供应商的竞争行为，不存在损害采购人或者其他供应商的合法权益情形的；</w:t>
            </w:r>
            <w:r>
              <w:rPr>
                <w:rFonts w:asciiTheme="minorEastAsia" w:hAnsiTheme="minorEastAsia"/>
                <w:color w:val="auto"/>
                <w:kern w:val="0"/>
                <w:szCs w:val="21"/>
                <w:highlight w:val="none"/>
              </w:rPr>
              <w:t>（由评委审查，无需投标供应商提供材料）</w:t>
            </w:r>
          </w:p>
        </w:tc>
      </w:tr>
      <w:tr w14:paraId="4D6A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3767100B">
            <w:pPr>
              <w:jc w:val="left"/>
              <w:rPr>
                <w:rFonts w:asciiTheme="minorEastAsia" w:hAnsiTheme="minorEastAsia"/>
                <w:color w:val="auto"/>
                <w:szCs w:val="21"/>
                <w:highlight w:val="none"/>
              </w:rPr>
            </w:pPr>
            <w:r>
              <w:rPr>
                <w:rFonts w:asciiTheme="minorEastAsia" w:hAnsiTheme="minorEastAsia"/>
                <w:color w:val="auto"/>
                <w:szCs w:val="21"/>
                <w:highlight w:val="none"/>
              </w:rPr>
              <w:t>16</w:t>
            </w:r>
          </w:p>
        </w:tc>
        <w:tc>
          <w:tcPr>
            <w:tcW w:w="1331" w:type="pct"/>
            <w:vAlign w:val="center"/>
          </w:tcPr>
          <w:p w14:paraId="38EF465E">
            <w:pPr>
              <w:jc w:val="left"/>
              <w:rPr>
                <w:rFonts w:ascii="宋体" w:hAnsi="宋体" w:eastAsia="宋体" w:cs="Times New Roman"/>
                <w:color w:val="auto"/>
                <w:szCs w:val="21"/>
                <w:highlight w:val="none"/>
              </w:rPr>
            </w:pPr>
            <w:r>
              <w:rPr>
                <w:rFonts w:ascii="宋体" w:hAnsi="宋体" w:eastAsia="宋体" w:cs="Times New Roman"/>
                <w:color w:val="auto"/>
                <w:szCs w:val="21"/>
                <w:highlight w:val="none"/>
              </w:rPr>
              <w:t>串通响应</w:t>
            </w:r>
          </w:p>
        </w:tc>
        <w:tc>
          <w:tcPr>
            <w:tcW w:w="3284" w:type="pct"/>
            <w:vAlign w:val="center"/>
          </w:tcPr>
          <w:p w14:paraId="1B5CBB3C">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ascii="宋体" w:hAnsi="宋体" w:eastAsia="宋体" w:cs="Times New Roman"/>
                <w:color w:val="auto"/>
                <w:szCs w:val="21"/>
                <w:highlight w:val="none"/>
              </w:rPr>
              <w:t>；</w:t>
            </w:r>
            <w:r>
              <w:rPr>
                <w:rFonts w:asciiTheme="minorEastAsia" w:hAnsiTheme="minorEastAsia"/>
                <w:color w:val="auto"/>
                <w:kern w:val="0"/>
                <w:szCs w:val="21"/>
                <w:highlight w:val="none"/>
              </w:rPr>
              <w:t>（由评委审查，无需投标供应商提供材料）</w:t>
            </w:r>
          </w:p>
        </w:tc>
      </w:tr>
      <w:tr w14:paraId="418C5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383" w:type="pct"/>
            <w:vAlign w:val="center"/>
          </w:tcPr>
          <w:p w14:paraId="6D70A683">
            <w:pPr>
              <w:jc w:val="left"/>
              <w:rPr>
                <w:rFonts w:asciiTheme="minorEastAsia" w:hAnsiTheme="minorEastAsia"/>
                <w:color w:val="auto"/>
                <w:szCs w:val="21"/>
                <w:highlight w:val="none"/>
              </w:rPr>
            </w:pPr>
            <w:r>
              <w:rPr>
                <w:rFonts w:asciiTheme="minorEastAsia" w:hAnsiTheme="minorEastAsia"/>
                <w:color w:val="auto"/>
                <w:szCs w:val="21"/>
                <w:highlight w:val="none"/>
              </w:rPr>
              <w:t>17</w:t>
            </w:r>
          </w:p>
        </w:tc>
        <w:tc>
          <w:tcPr>
            <w:tcW w:w="1331" w:type="pct"/>
            <w:vAlign w:val="center"/>
          </w:tcPr>
          <w:p w14:paraId="0A9B5E0B">
            <w:pPr>
              <w:jc w:val="left"/>
              <w:rPr>
                <w:rFonts w:asciiTheme="minorEastAsia" w:hAnsiTheme="minorEastAsia"/>
                <w:color w:val="auto"/>
                <w:szCs w:val="21"/>
                <w:highlight w:val="none"/>
              </w:rPr>
            </w:pPr>
            <w:r>
              <w:rPr>
                <w:rFonts w:asciiTheme="minorEastAsia" w:hAnsiTheme="minorEastAsia"/>
                <w:color w:val="auto"/>
                <w:szCs w:val="21"/>
                <w:highlight w:val="none"/>
              </w:rPr>
              <w:t>附加条件</w:t>
            </w:r>
          </w:p>
        </w:tc>
        <w:tc>
          <w:tcPr>
            <w:tcW w:w="3284" w:type="pct"/>
            <w:vAlign w:val="center"/>
          </w:tcPr>
          <w:p w14:paraId="34343A52">
            <w:pPr>
              <w:jc w:val="left"/>
              <w:rPr>
                <w:rFonts w:asciiTheme="minorEastAsia" w:hAnsiTheme="minorEastAsia"/>
                <w:color w:val="auto"/>
                <w:szCs w:val="21"/>
                <w:highlight w:val="none"/>
              </w:rPr>
            </w:pPr>
            <w:r>
              <w:rPr>
                <w:rFonts w:asciiTheme="minorEastAsia" w:hAnsiTheme="minorEastAsia"/>
                <w:color w:val="auto"/>
                <w:szCs w:val="21"/>
                <w:highlight w:val="none"/>
              </w:rPr>
              <w:t>响应文件</w:t>
            </w:r>
            <w:r>
              <w:rPr>
                <w:rFonts w:hint="eastAsia" w:asciiTheme="minorEastAsia" w:hAnsiTheme="minorEastAsia"/>
                <w:color w:val="auto"/>
                <w:szCs w:val="21"/>
                <w:highlight w:val="none"/>
              </w:rPr>
              <w:t>未</w:t>
            </w:r>
            <w:r>
              <w:rPr>
                <w:rFonts w:asciiTheme="minorEastAsia" w:hAnsiTheme="minorEastAsia"/>
                <w:color w:val="auto"/>
                <w:szCs w:val="21"/>
                <w:highlight w:val="none"/>
              </w:rPr>
              <w:t>含有采购人不能接受的附加条件的；</w:t>
            </w:r>
            <w:r>
              <w:rPr>
                <w:rFonts w:asciiTheme="minorEastAsia" w:hAnsiTheme="minorEastAsia"/>
                <w:color w:val="auto"/>
                <w:kern w:val="0"/>
                <w:szCs w:val="21"/>
                <w:highlight w:val="none"/>
              </w:rPr>
              <w:t>（由评委审查，无需投标供应商提供材料）</w:t>
            </w:r>
          </w:p>
        </w:tc>
      </w:tr>
      <w:tr w14:paraId="74BD3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383" w:type="pct"/>
            <w:vAlign w:val="center"/>
          </w:tcPr>
          <w:p w14:paraId="0B5E9D4B">
            <w:pPr>
              <w:jc w:val="left"/>
              <w:rPr>
                <w:rFonts w:asciiTheme="minorEastAsia" w:hAnsiTheme="minorEastAsia"/>
                <w:color w:val="auto"/>
                <w:szCs w:val="21"/>
                <w:highlight w:val="none"/>
              </w:rPr>
            </w:pPr>
            <w:r>
              <w:rPr>
                <w:rFonts w:hint="eastAsia" w:asciiTheme="minorEastAsia" w:hAnsiTheme="minorEastAsia"/>
                <w:color w:val="auto"/>
                <w:szCs w:val="21"/>
                <w:highlight w:val="none"/>
              </w:rPr>
              <w:t>1</w:t>
            </w:r>
            <w:r>
              <w:rPr>
                <w:rFonts w:asciiTheme="minorEastAsia" w:hAnsiTheme="minorEastAsia"/>
                <w:color w:val="auto"/>
                <w:szCs w:val="21"/>
                <w:highlight w:val="none"/>
              </w:rPr>
              <w:t>8</w:t>
            </w:r>
          </w:p>
        </w:tc>
        <w:tc>
          <w:tcPr>
            <w:tcW w:w="1331" w:type="pct"/>
            <w:vAlign w:val="center"/>
          </w:tcPr>
          <w:p w14:paraId="6EA1281F">
            <w:pPr>
              <w:jc w:val="left"/>
              <w:rPr>
                <w:rFonts w:asciiTheme="minorEastAsia" w:hAnsiTheme="minorEastAsia"/>
                <w:color w:val="auto"/>
                <w:szCs w:val="21"/>
                <w:highlight w:val="none"/>
              </w:rPr>
            </w:pPr>
            <w:r>
              <w:rPr>
                <w:rFonts w:asciiTheme="minorEastAsia" w:hAnsiTheme="minorEastAsia"/>
                <w:color w:val="auto"/>
                <w:szCs w:val="21"/>
                <w:highlight w:val="none"/>
              </w:rPr>
              <w:t>其他无效情形</w:t>
            </w:r>
          </w:p>
        </w:tc>
        <w:tc>
          <w:tcPr>
            <w:tcW w:w="3284" w:type="pct"/>
            <w:vAlign w:val="center"/>
          </w:tcPr>
          <w:p w14:paraId="71621970">
            <w:pPr>
              <w:jc w:val="left"/>
              <w:rPr>
                <w:rFonts w:asciiTheme="minorEastAsia" w:hAnsiTheme="minorEastAsia"/>
                <w:color w:val="auto"/>
                <w:szCs w:val="21"/>
                <w:highlight w:val="none"/>
              </w:rPr>
            </w:pPr>
            <w:r>
              <w:rPr>
                <w:rFonts w:asciiTheme="minorEastAsia" w:hAnsiTheme="minorEastAsia"/>
                <w:color w:val="auto"/>
                <w:szCs w:val="21"/>
                <w:highlight w:val="none"/>
              </w:rPr>
              <w:t>供应商、响应文件</w:t>
            </w:r>
            <w:r>
              <w:rPr>
                <w:rFonts w:hint="eastAsia" w:asciiTheme="minorEastAsia" w:hAnsiTheme="minorEastAsia"/>
                <w:color w:val="auto"/>
                <w:szCs w:val="21"/>
                <w:highlight w:val="none"/>
              </w:rPr>
              <w:t>不存在</w:t>
            </w:r>
            <w:r>
              <w:rPr>
                <w:rFonts w:asciiTheme="minorEastAsia" w:hAnsiTheme="minorEastAsia"/>
                <w:color w:val="auto"/>
                <w:szCs w:val="21"/>
                <w:highlight w:val="none"/>
              </w:rPr>
              <w:t>不符合法律、法规和磋商文件规定的其他无效情形。</w:t>
            </w:r>
            <w:r>
              <w:rPr>
                <w:rFonts w:asciiTheme="minorEastAsia" w:hAnsiTheme="minorEastAsia"/>
                <w:color w:val="auto"/>
                <w:kern w:val="0"/>
                <w:szCs w:val="21"/>
                <w:highlight w:val="none"/>
              </w:rPr>
              <w:t>（由评委审查，无需投标供应商提供材料）</w:t>
            </w:r>
          </w:p>
        </w:tc>
      </w:tr>
    </w:tbl>
    <w:p w14:paraId="6FC7D4A3">
      <w:pPr>
        <w:pStyle w:val="34"/>
        <w:numPr>
          <w:ilvl w:val="0"/>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磋商、响应文件有关事项的澄清、说明或者更正和最终报价</w:t>
      </w:r>
    </w:p>
    <w:p w14:paraId="5169C45E">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磋商小组所有成员应当集中与单一供应商分别进行磋商，并给予所有参加磋商的供应商平等的磋商机会</w:t>
      </w:r>
      <w:r>
        <w:rPr>
          <w:rFonts w:hint="eastAsia" w:asciiTheme="minorEastAsia" w:hAnsiTheme="minorEastAsia"/>
          <w:color w:val="auto"/>
          <w:sz w:val="24"/>
          <w:highlight w:val="none"/>
        </w:rPr>
        <w:t>。</w:t>
      </w:r>
    </w:p>
    <w:p w14:paraId="032C9C8C">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Theme="minorEastAsia" w:hAnsiTheme="minorEastAsia"/>
          <w:color w:val="auto"/>
          <w:kern w:val="0"/>
          <w:sz w:val="24"/>
          <w:highlight w:val="none"/>
        </w:rPr>
        <w:t>。</w:t>
      </w:r>
    </w:p>
    <w:p w14:paraId="090F9946">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kern w:val="0"/>
          <w:sz w:val="24"/>
          <w:highlight w:val="none"/>
        </w:rPr>
        <w:t>对磋商文件作出的实质性变动是磋商文件的有效组成部分，磋商小组应当及时</w:t>
      </w:r>
      <w:r>
        <w:rPr>
          <w:rFonts w:hint="eastAsia" w:ascii="宋体" w:hAnsi="宋体" w:eastAsia="宋体" w:cs="Times New Roman"/>
          <w:color w:val="auto"/>
          <w:sz w:val="24"/>
          <w:highlight w:val="none"/>
        </w:rPr>
        <w:t>通过“苏采云”系统</w:t>
      </w:r>
      <w:r>
        <w:rPr>
          <w:rFonts w:ascii="宋体" w:hAnsi="宋体" w:eastAsia="宋体" w:cs="Times New Roman"/>
          <w:color w:val="auto"/>
          <w:kern w:val="0"/>
          <w:sz w:val="24"/>
          <w:highlight w:val="none"/>
        </w:rPr>
        <w:t>以书面形式同时通知所有参加磋商的供应商</w:t>
      </w:r>
      <w:r>
        <w:rPr>
          <w:rFonts w:hint="eastAsia" w:asciiTheme="minorEastAsia" w:hAnsiTheme="minorEastAsia"/>
          <w:color w:val="auto"/>
          <w:kern w:val="0"/>
          <w:sz w:val="24"/>
          <w:highlight w:val="none"/>
        </w:rPr>
        <w:t>。</w:t>
      </w:r>
    </w:p>
    <w:p w14:paraId="4B726B23">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Theme="minorEastAsia" w:hAnsiTheme="minorEastAsia"/>
          <w:color w:val="auto"/>
          <w:kern w:val="0"/>
          <w:sz w:val="24"/>
          <w:highlight w:val="none"/>
        </w:rPr>
        <w:t>。</w:t>
      </w:r>
    </w:p>
    <w:p w14:paraId="13FB3D9C">
      <w:pPr>
        <w:pStyle w:val="34"/>
        <w:numPr>
          <w:ilvl w:val="1"/>
          <w:numId w:val="3"/>
        </w:numPr>
        <w:spacing w:line="360" w:lineRule="auto"/>
        <w:ind w:firstLineChars="0"/>
        <w:jc w:val="left"/>
        <w:rPr>
          <w:rFonts w:ascii="宋体" w:hAnsi="宋体" w:eastAsia="宋体"/>
          <w:color w:val="auto"/>
          <w:sz w:val="24"/>
          <w:highlight w:val="none"/>
        </w:rPr>
      </w:pPr>
      <w:r>
        <w:rPr>
          <w:rFonts w:asciiTheme="minorEastAsia" w:hAnsiTheme="minorEastAsia"/>
          <w:color w:val="auto"/>
          <w:sz w:val="24"/>
          <w:highlight w:val="none"/>
        </w:rPr>
        <w:t>响应文件的澄清、说明或者更正</w:t>
      </w:r>
      <w:r>
        <w:rPr>
          <w:rFonts w:hint="eastAsia" w:asciiTheme="minorEastAsia" w:hAnsiTheme="minorEastAsia"/>
          <w:color w:val="auto"/>
          <w:sz w:val="24"/>
          <w:highlight w:val="none"/>
        </w:rPr>
        <w:t>：</w:t>
      </w:r>
      <w:r>
        <w:rPr>
          <w:rFonts w:hint="eastAsia" w:ascii="宋体" w:hAnsi="宋体" w:eastAsia="宋体" w:cs="Times New Roman"/>
          <w:color w:val="auto"/>
          <w:sz w:val="24"/>
          <w:highlight w:val="none"/>
        </w:rPr>
        <w:t>评审</w:t>
      </w:r>
      <w:r>
        <w:rPr>
          <w:rFonts w:ascii="宋体" w:hAnsi="宋体" w:eastAsia="宋体" w:cs="Times New Roman"/>
          <w:color w:val="auto"/>
          <w:sz w:val="24"/>
          <w:highlight w:val="none"/>
        </w:rPr>
        <w:t>过程中，</w:t>
      </w:r>
      <w:r>
        <w:rPr>
          <w:rFonts w:hint="eastAsia" w:ascii="宋体" w:hAnsi="宋体" w:eastAsia="宋体" w:cs="Times New Roman"/>
          <w:color w:val="auto"/>
          <w:sz w:val="24"/>
          <w:highlight w:val="none"/>
        </w:rPr>
        <w:t>磋商小组</w:t>
      </w:r>
      <w:r>
        <w:rPr>
          <w:rFonts w:ascii="宋体" w:hAnsi="宋体" w:eastAsia="宋体" w:cs="Times New Roman"/>
          <w:color w:val="auto"/>
          <w:sz w:val="24"/>
          <w:highlight w:val="none"/>
        </w:rPr>
        <w:t>会将</w:t>
      </w:r>
      <w:r>
        <w:rPr>
          <w:rFonts w:hint="eastAsia" w:ascii="宋体" w:hAnsi="宋体" w:eastAsia="宋体" w:cs="Times New Roman"/>
          <w:color w:val="auto"/>
          <w:sz w:val="24"/>
          <w:highlight w:val="none"/>
        </w:rPr>
        <w:t>通过“苏采云”系统</w:t>
      </w:r>
      <w:r>
        <w:rPr>
          <w:rFonts w:ascii="宋体" w:hAnsi="宋体" w:eastAsia="宋体" w:cs="Times New Roman"/>
          <w:color w:val="auto"/>
          <w:sz w:val="24"/>
          <w:highlight w:val="none"/>
        </w:rPr>
        <w:t>以书面形式要求</w:t>
      </w:r>
      <w:r>
        <w:rPr>
          <w:rFonts w:hint="eastAsia" w:ascii="宋体" w:hAnsi="宋体" w:eastAsia="宋体" w:cs="Times New Roman"/>
          <w:color w:val="auto"/>
          <w:sz w:val="24"/>
          <w:highlight w:val="none"/>
        </w:rPr>
        <w:t>供应商</w:t>
      </w:r>
      <w:r>
        <w:rPr>
          <w:rFonts w:ascii="宋体" w:hAnsi="宋体" w:eastAsia="宋体" w:cs="Times New Roman"/>
          <w:color w:val="auto"/>
          <w:sz w:val="24"/>
          <w:highlight w:val="none"/>
        </w:rPr>
        <w:t>对其</w:t>
      </w:r>
      <w:r>
        <w:rPr>
          <w:rFonts w:hint="eastAsia" w:ascii="宋体" w:hAnsi="宋体" w:eastAsia="宋体" w:cs="Times New Roman"/>
          <w:color w:val="auto"/>
          <w:sz w:val="24"/>
          <w:highlight w:val="none"/>
        </w:rPr>
        <w:t>响应</w:t>
      </w:r>
      <w:r>
        <w:rPr>
          <w:rFonts w:ascii="宋体" w:hAnsi="宋体" w:eastAsia="宋体" w:cs="Times New Roman"/>
          <w:color w:val="auto"/>
          <w:sz w:val="24"/>
          <w:highlight w:val="none"/>
        </w:rPr>
        <w:t>文件中含义不明确、同类问题表述不一致或者有明显文字和计算错误的内容，作出必要的澄清、说明或者补正。</w:t>
      </w:r>
      <w:r>
        <w:rPr>
          <w:rFonts w:hint="eastAsia" w:ascii="宋体" w:hAnsi="宋体" w:eastAsia="宋体" w:cs="Times New Roman"/>
          <w:color w:val="auto"/>
          <w:sz w:val="24"/>
          <w:highlight w:val="none"/>
        </w:rPr>
        <w:t>供应商</w:t>
      </w:r>
      <w:r>
        <w:rPr>
          <w:rFonts w:ascii="宋体" w:hAnsi="宋体" w:eastAsia="宋体" w:cs="Times New Roman"/>
          <w:color w:val="auto"/>
          <w:sz w:val="24"/>
          <w:highlight w:val="none"/>
        </w:rPr>
        <w:t>的澄清、说明或者补正应当采用书面形式，并加盖</w:t>
      </w:r>
      <w:r>
        <w:rPr>
          <w:rFonts w:hint="eastAsia" w:ascii="宋体" w:hAnsi="宋体" w:eastAsia="宋体" w:cs="Times New Roman"/>
          <w:color w:val="auto"/>
          <w:sz w:val="24"/>
          <w:highlight w:val="none"/>
        </w:rPr>
        <w:t>电子</w:t>
      </w:r>
      <w:r>
        <w:rPr>
          <w:rFonts w:ascii="宋体" w:hAnsi="宋体" w:eastAsia="宋体" w:cs="Times New Roman"/>
          <w:color w:val="auto"/>
          <w:sz w:val="24"/>
          <w:highlight w:val="none"/>
        </w:rPr>
        <w:t>公章。</w:t>
      </w:r>
      <w:r>
        <w:rPr>
          <w:rFonts w:hint="eastAsia" w:ascii="宋体" w:hAnsi="宋体" w:eastAsia="宋体" w:cs="Times New Roman"/>
          <w:color w:val="auto"/>
          <w:sz w:val="24"/>
          <w:highlight w:val="none"/>
        </w:rPr>
        <w:t>供应商</w:t>
      </w:r>
      <w:r>
        <w:rPr>
          <w:rFonts w:ascii="宋体" w:hAnsi="宋体" w:eastAsia="宋体" w:cs="Times New Roman"/>
          <w:color w:val="auto"/>
          <w:sz w:val="24"/>
          <w:highlight w:val="none"/>
        </w:rPr>
        <w:t>的澄清、说明或者补正不得超出</w:t>
      </w:r>
      <w:r>
        <w:rPr>
          <w:rFonts w:hint="eastAsia" w:ascii="宋体" w:hAnsi="宋体" w:eastAsia="宋体" w:cs="Times New Roman"/>
          <w:color w:val="auto"/>
          <w:sz w:val="24"/>
          <w:highlight w:val="none"/>
        </w:rPr>
        <w:t>响应</w:t>
      </w:r>
      <w:r>
        <w:rPr>
          <w:rFonts w:ascii="宋体" w:hAnsi="宋体" w:eastAsia="宋体" w:cs="Times New Roman"/>
          <w:color w:val="auto"/>
          <w:sz w:val="24"/>
          <w:highlight w:val="none"/>
        </w:rPr>
        <w:t>文件的范围或者改变</w:t>
      </w:r>
      <w:r>
        <w:rPr>
          <w:rFonts w:hint="eastAsia" w:ascii="宋体" w:hAnsi="宋体" w:eastAsia="宋体" w:cs="Times New Roman"/>
          <w:color w:val="auto"/>
          <w:sz w:val="24"/>
          <w:highlight w:val="none"/>
        </w:rPr>
        <w:t>响应</w:t>
      </w:r>
      <w:r>
        <w:rPr>
          <w:rFonts w:ascii="宋体" w:hAnsi="宋体" w:eastAsia="宋体" w:cs="Times New Roman"/>
          <w:color w:val="auto"/>
          <w:sz w:val="24"/>
          <w:highlight w:val="none"/>
        </w:rPr>
        <w:t>文件的实质性内容。澄清文件将作为</w:t>
      </w:r>
      <w:r>
        <w:rPr>
          <w:rFonts w:hint="eastAsia" w:ascii="宋体" w:hAnsi="宋体" w:eastAsia="宋体" w:cs="Times New Roman"/>
          <w:color w:val="auto"/>
          <w:sz w:val="24"/>
          <w:highlight w:val="none"/>
        </w:rPr>
        <w:t>响应</w:t>
      </w:r>
      <w:r>
        <w:rPr>
          <w:rFonts w:ascii="宋体" w:hAnsi="宋体" w:eastAsia="宋体" w:cs="Times New Roman"/>
          <w:color w:val="auto"/>
          <w:sz w:val="24"/>
          <w:highlight w:val="none"/>
        </w:rPr>
        <w:t>文件内容的一部分</w:t>
      </w:r>
      <w:r>
        <w:rPr>
          <w:rFonts w:hint="eastAsia" w:ascii="宋体" w:hAnsi="宋体" w:eastAsia="宋体"/>
          <w:color w:val="auto"/>
          <w:sz w:val="24"/>
          <w:highlight w:val="none"/>
        </w:rPr>
        <w:t>。</w:t>
      </w:r>
    </w:p>
    <w:p w14:paraId="5063E541">
      <w:pPr>
        <w:pStyle w:val="34"/>
        <w:numPr>
          <w:ilvl w:val="1"/>
          <w:numId w:val="3"/>
        </w:numPr>
        <w:spacing w:line="360" w:lineRule="auto"/>
        <w:ind w:firstLineChars="0"/>
        <w:jc w:val="left"/>
        <w:rPr>
          <w:rFonts w:ascii="宋体" w:hAnsi="宋体" w:eastAsia="宋体"/>
          <w:color w:val="auto"/>
          <w:sz w:val="24"/>
          <w:highlight w:val="none"/>
        </w:rPr>
      </w:pPr>
      <w:r>
        <w:rPr>
          <w:rFonts w:ascii="宋体" w:hAnsi="宋体" w:eastAsia="宋体"/>
          <w:b/>
          <w:color w:val="auto"/>
          <w:sz w:val="24"/>
          <w:highlight w:val="none"/>
        </w:rPr>
        <w:t>磋商结束后，磋商小组将要求所有实质性响应的供应商在规定时间内</w:t>
      </w:r>
      <w:r>
        <w:rPr>
          <w:rFonts w:hint="eastAsia" w:ascii="宋体" w:hAnsi="宋体" w:eastAsia="宋体"/>
          <w:b/>
          <w:color w:val="auto"/>
          <w:sz w:val="24"/>
          <w:highlight w:val="none"/>
        </w:rPr>
        <w:t>通过“苏采云”系统</w:t>
      </w:r>
      <w:r>
        <w:rPr>
          <w:rFonts w:ascii="宋体" w:hAnsi="宋体" w:eastAsia="宋体"/>
          <w:b/>
          <w:color w:val="auto"/>
          <w:sz w:val="24"/>
          <w:highlight w:val="none"/>
        </w:rPr>
        <w:t>提交最</w:t>
      </w:r>
      <w:r>
        <w:rPr>
          <w:rFonts w:hint="eastAsia" w:ascii="宋体" w:hAnsi="宋体" w:eastAsia="宋体"/>
          <w:b/>
          <w:color w:val="auto"/>
          <w:sz w:val="24"/>
          <w:highlight w:val="none"/>
        </w:rPr>
        <w:t>终</w:t>
      </w:r>
      <w:r>
        <w:rPr>
          <w:rFonts w:ascii="宋体" w:hAnsi="宋体" w:eastAsia="宋体"/>
          <w:b/>
          <w:color w:val="auto"/>
          <w:sz w:val="24"/>
          <w:highlight w:val="none"/>
        </w:rPr>
        <w:t>报价</w:t>
      </w:r>
      <w:r>
        <w:rPr>
          <w:rFonts w:hint="eastAsia" w:ascii="宋体" w:hAnsi="宋体" w:eastAsia="宋体"/>
          <w:b/>
          <w:color w:val="auto"/>
          <w:sz w:val="24"/>
          <w:highlight w:val="none"/>
        </w:rPr>
        <w:t>。</w:t>
      </w:r>
      <w:r>
        <w:rPr>
          <w:rFonts w:hint="eastAsia" w:ascii="宋体" w:hAnsi="宋体" w:eastAsia="宋体"/>
          <w:b/>
          <w:bCs/>
          <w:color w:val="auto"/>
          <w:sz w:val="24"/>
          <w:highlight w:val="none"/>
        </w:rPr>
        <w:t>本项目采用贰次报价。响应文件的磋商报价作为首次报价，在磋商小组资格审查符合性审查结束后，所有继续参加磋商的供应商在规定时间内提交最终报价，最终报价作为评定成交的依据。供应商未在磋商小组规定的时间内在</w:t>
      </w:r>
      <w:r>
        <w:rPr>
          <w:rFonts w:hint="eastAsia" w:ascii="宋体" w:hAnsi="宋体" w:eastAsia="宋体"/>
          <w:b/>
          <w:color w:val="auto"/>
          <w:sz w:val="24"/>
          <w:highlight w:val="none"/>
        </w:rPr>
        <w:t>“苏采云”</w:t>
      </w:r>
      <w:r>
        <w:rPr>
          <w:rFonts w:hint="eastAsia" w:ascii="宋体" w:hAnsi="宋体" w:eastAsia="宋体"/>
          <w:b/>
          <w:bCs/>
          <w:color w:val="auto"/>
          <w:sz w:val="24"/>
          <w:highlight w:val="none"/>
        </w:rPr>
        <w:t>系统中提交最后报价的视为放弃磋商，其响应文件按无效响应处理，最后报价格式表须加盖 CA电子公章,否则视为未提交最后报价。</w:t>
      </w:r>
    </w:p>
    <w:p w14:paraId="114FA8FA">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snapToGrid w:val="0"/>
          <w:color w:val="auto"/>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ascii="宋体" w:hAnsi="宋体" w:eastAsia="宋体" w:cs="Times New Roman"/>
          <w:color w:val="auto"/>
          <w:sz w:val="24"/>
          <w:highlight w:val="none"/>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Theme="minorEastAsia" w:hAnsiTheme="minorEastAsia"/>
          <w:color w:val="auto"/>
          <w:sz w:val="24"/>
          <w:highlight w:val="none"/>
        </w:rPr>
        <w:t>。</w:t>
      </w:r>
    </w:p>
    <w:p w14:paraId="649F7708">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最终报价是供应商响应文件的有效组成部分</w:t>
      </w:r>
      <w:r>
        <w:rPr>
          <w:rFonts w:hint="eastAsia" w:asciiTheme="minorEastAsia" w:hAnsiTheme="minorEastAsia"/>
          <w:color w:val="auto"/>
          <w:sz w:val="24"/>
          <w:highlight w:val="none"/>
        </w:rPr>
        <w:t>。</w:t>
      </w:r>
    </w:p>
    <w:p w14:paraId="6A27C930">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已提交响应文件的供应商，在提交最终报价之前，可以根据磋商情况退出磋商</w:t>
      </w:r>
      <w:r>
        <w:rPr>
          <w:rFonts w:hint="eastAsia" w:asciiTheme="minorEastAsia" w:hAnsiTheme="minorEastAsia"/>
          <w:color w:val="auto"/>
          <w:sz w:val="24"/>
          <w:highlight w:val="none"/>
        </w:rPr>
        <w:t>。</w:t>
      </w:r>
    </w:p>
    <w:p w14:paraId="187739FE">
      <w:pPr>
        <w:pStyle w:val="34"/>
        <w:numPr>
          <w:ilvl w:val="0"/>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最终报价的算术修正及政策调整</w:t>
      </w:r>
    </w:p>
    <w:p w14:paraId="4A502EBB">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最终报价须包含竞争性磋商文件全部内容，如</w:t>
      </w:r>
      <w:r>
        <w:rPr>
          <w:rFonts w:hint="eastAsia" w:ascii="宋体" w:hAnsi="宋体" w:eastAsia="宋体" w:cs="Times New Roman"/>
          <w:color w:val="auto"/>
          <w:sz w:val="24"/>
          <w:highlight w:val="none"/>
        </w:rPr>
        <w:t>最后</w:t>
      </w:r>
      <w:r>
        <w:rPr>
          <w:rFonts w:ascii="宋体" w:hAnsi="宋体" w:eastAsia="宋体" w:cs="Times New Roman"/>
          <w:color w:val="auto"/>
          <w:sz w:val="24"/>
          <w:highlight w:val="none"/>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ascii="宋体" w:hAnsi="宋体" w:eastAsia="宋体" w:cs="Times New Roman"/>
          <w:b/>
          <w:color w:val="auto"/>
          <w:sz w:val="24"/>
          <w:highlight w:val="none"/>
        </w:rPr>
        <w:t>响应无效</w:t>
      </w:r>
      <w:r>
        <w:rPr>
          <w:rFonts w:hint="eastAsia" w:asciiTheme="minorEastAsia" w:hAnsiTheme="minorEastAsia"/>
          <w:b/>
          <w:color w:val="auto"/>
          <w:sz w:val="24"/>
          <w:highlight w:val="none"/>
        </w:rPr>
        <w:t>。</w:t>
      </w:r>
    </w:p>
    <w:p w14:paraId="5303BA75">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最终报价出现前后不一致的，按照下列规定修正</w:t>
      </w:r>
      <w:r>
        <w:rPr>
          <w:rFonts w:hint="eastAsia" w:asciiTheme="minorEastAsia" w:hAnsiTheme="minorEastAsia"/>
          <w:color w:val="auto"/>
          <w:sz w:val="24"/>
          <w:highlight w:val="none"/>
        </w:rPr>
        <w:t>：</w:t>
      </w:r>
    </w:p>
    <w:p w14:paraId="04CFE83D">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竞争性磋商文件对于报价修正是否另有规定</w:t>
      </w:r>
      <w:r>
        <w:rPr>
          <w:rFonts w:asciiTheme="minorEastAsia" w:hAnsiTheme="minorEastAsia"/>
          <w:color w:val="auto"/>
          <w:sz w:val="24"/>
          <w:highlight w:val="none"/>
        </w:rPr>
        <w:t>：</w:t>
      </w:r>
    </w:p>
    <w:p w14:paraId="553360D5">
      <w:pPr>
        <w:spacing w:line="360" w:lineRule="auto"/>
        <w:ind w:firstLine="1440" w:firstLineChars="600"/>
        <w:jc w:val="left"/>
        <w:rPr>
          <w:rFonts w:asciiTheme="minorEastAsia" w:hAnsiTheme="minorEastAsia"/>
          <w:color w:val="auto"/>
          <w:sz w:val="24"/>
          <w:szCs w:val="24"/>
          <w:highlight w:val="none"/>
        </w:rPr>
      </w:pPr>
      <w:r>
        <w:rPr>
          <w:rFonts w:asciiTheme="minorEastAsia" w:hAnsiTheme="minorEastAsia"/>
          <w:color w:val="auto"/>
          <w:sz w:val="24"/>
          <w:szCs w:val="24"/>
          <w:highlight w:val="none"/>
        </w:rPr>
        <w:t>□</w:t>
      </w:r>
      <w:r>
        <w:rPr>
          <w:rFonts w:hint="eastAsia" w:asciiTheme="minorEastAsia" w:hAnsiTheme="minorEastAsia"/>
          <w:color w:val="auto"/>
          <w:sz w:val="24"/>
          <w:szCs w:val="24"/>
          <w:highlight w:val="none"/>
        </w:rPr>
        <w:t>有，具体规定为：</w:t>
      </w:r>
    </w:p>
    <w:p w14:paraId="61A78E13">
      <w:pPr>
        <w:spacing w:line="360" w:lineRule="auto"/>
        <w:ind w:firstLine="1440" w:firstLineChars="600"/>
        <w:jc w:val="left"/>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■无，</w:t>
      </w:r>
      <w:r>
        <w:rPr>
          <w:rFonts w:asciiTheme="minorEastAsia" w:hAnsiTheme="minorEastAsia"/>
          <w:color w:val="auto"/>
          <w:sz w:val="24"/>
          <w:szCs w:val="24"/>
          <w:highlight w:val="none"/>
        </w:rPr>
        <w:t>按下述</w:t>
      </w:r>
      <w:r>
        <w:rPr>
          <w:rFonts w:hint="eastAsia" w:asciiTheme="minorEastAsia" w:hAnsiTheme="minorEastAsia"/>
          <w:color w:val="auto"/>
          <w:sz w:val="24"/>
          <w:szCs w:val="24"/>
          <w:highlight w:val="none"/>
        </w:rPr>
        <w:t>3.2.2—3.2.5项规定修正</w:t>
      </w:r>
      <w:r>
        <w:rPr>
          <w:rFonts w:asciiTheme="minorEastAsia" w:hAnsiTheme="minorEastAsia"/>
          <w:color w:val="auto"/>
          <w:sz w:val="24"/>
          <w:szCs w:val="24"/>
          <w:highlight w:val="none"/>
        </w:rPr>
        <w:t>。</w:t>
      </w:r>
    </w:p>
    <w:p w14:paraId="76FEB4AA">
      <w:pPr>
        <w:pStyle w:val="34"/>
        <w:numPr>
          <w:ilvl w:val="2"/>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大写金额和小写金额不一致的，以大写金额为准</w:t>
      </w:r>
      <w:r>
        <w:rPr>
          <w:rFonts w:hint="eastAsia" w:asciiTheme="minorEastAsia" w:hAnsiTheme="minorEastAsia"/>
          <w:color w:val="auto"/>
          <w:sz w:val="24"/>
          <w:highlight w:val="none"/>
        </w:rPr>
        <w:t>；</w:t>
      </w:r>
    </w:p>
    <w:p w14:paraId="5DA624E6">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单价金额小数点或者百分比有明显错位的，以最终报价一览表的总价为准，并修改单价</w:t>
      </w:r>
      <w:r>
        <w:rPr>
          <w:rFonts w:hint="eastAsia" w:asciiTheme="minorEastAsia" w:hAnsiTheme="minorEastAsia"/>
          <w:color w:val="auto"/>
          <w:sz w:val="24"/>
          <w:highlight w:val="none"/>
        </w:rPr>
        <w:t>；</w:t>
      </w:r>
    </w:p>
    <w:p w14:paraId="60F23743">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总价金额与按单价汇总金额不一致的，以单价金额计算结果为准</w:t>
      </w:r>
      <w:r>
        <w:rPr>
          <w:rFonts w:hint="eastAsia" w:asciiTheme="minorEastAsia" w:hAnsiTheme="minorEastAsia"/>
          <w:color w:val="auto"/>
          <w:sz w:val="24"/>
          <w:highlight w:val="none"/>
        </w:rPr>
        <w:t>；</w:t>
      </w:r>
    </w:p>
    <w:p w14:paraId="019FAF8A">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同时出现两种以上不一致的，按照前款规定的顺序修正。</w:t>
      </w:r>
      <w:r>
        <w:rPr>
          <w:rFonts w:hint="eastAsia" w:ascii="宋体" w:hAnsi="宋体"/>
          <w:bCs/>
          <w:color w:val="auto"/>
          <w:sz w:val="24"/>
          <w:highlight w:val="none"/>
        </w:rPr>
        <w:t>磋商小组将按上述修正错误的方法调整最终报价表的报价，并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告知供应商，</w:t>
      </w:r>
      <w:r>
        <w:rPr>
          <w:rFonts w:ascii="宋体" w:hAnsi="宋体" w:eastAsia="宋体" w:cs="Times New Roman"/>
          <w:bCs/>
          <w:color w:val="auto"/>
          <w:sz w:val="24"/>
          <w:highlight w:val="none"/>
        </w:rPr>
        <w:t>修正后</w:t>
      </w:r>
      <w:r>
        <w:rPr>
          <w:rFonts w:ascii="宋体" w:hAnsi="宋体" w:eastAsia="宋体" w:cs="Times New Roman"/>
          <w:color w:val="auto"/>
          <w:sz w:val="24"/>
          <w:highlight w:val="none"/>
        </w:rPr>
        <w:t>的报价经供应商书面确认后产生约束力，供应商不确认的，</w:t>
      </w:r>
      <w:r>
        <w:rPr>
          <w:rFonts w:ascii="宋体" w:hAnsi="宋体" w:eastAsia="宋体" w:cs="Times New Roman"/>
          <w:b/>
          <w:color w:val="auto"/>
          <w:sz w:val="24"/>
          <w:highlight w:val="none"/>
        </w:rPr>
        <w:t>其响应无效</w:t>
      </w:r>
      <w:r>
        <w:rPr>
          <w:rFonts w:asciiTheme="minorEastAsia" w:hAnsiTheme="minorEastAsia"/>
          <w:color w:val="auto"/>
          <w:sz w:val="24"/>
          <w:highlight w:val="none"/>
        </w:rPr>
        <w:t>。</w:t>
      </w:r>
    </w:p>
    <w:p w14:paraId="53805580">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落实政府采购政策的价格调整：只有符合第二章《供应商须知》4.2条规定情形的，可以享受中小企业扶持政策，用扣除后的价格参加评审；否则，评审时价格不予扣除</w:t>
      </w:r>
      <w:r>
        <w:rPr>
          <w:rFonts w:asciiTheme="minorEastAsia" w:hAnsiTheme="minorEastAsia"/>
          <w:color w:val="auto"/>
          <w:sz w:val="24"/>
          <w:highlight w:val="none"/>
        </w:rPr>
        <w:t>。</w:t>
      </w:r>
    </w:p>
    <w:p w14:paraId="1FFC5E68">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对于未预留份额专门面向中小企业采购的采购项目，以及预留份额项目中的非预留部分采购包，对</w:t>
      </w:r>
      <w:r>
        <w:rPr>
          <w:rFonts w:ascii="宋体" w:hAnsi="宋体" w:eastAsia="宋体" w:cs="Times New Roman"/>
          <w:b/>
          <w:color w:val="auto"/>
          <w:sz w:val="24"/>
          <w:highlight w:val="none"/>
        </w:rPr>
        <w:t>小微企业</w:t>
      </w:r>
      <w:r>
        <w:rPr>
          <w:rFonts w:ascii="宋体" w:hAnsi="宋体" w:eastAsia="宋体" w:cs="Times New Roman"/>
          <w:color w:val="auto"/>
          <w:sz w:val="24"/>
          <w:highlight w:val="none"/>
        </w:rPr>
        <w:t>报价给予</w:t>
      </w:r>
      <w:r>
        <w:rPr>
          <w:rFonts w:hint="eastAsia" w:ascii="宋体" w:hAnsi="宋体" w:eastAsia="宋体" w:cs="Times New Roman"/>
          <w:color w:val="auto"/>
          <w:sz w:val="24"/>
          <w:highlight w:val="none"/>
        </w:rPr>
        <w:t>20</w:t>
      </w:r>
      <w:r>
        <w:rPr>
          <w:rFonts w:ascii="宋体" w:hAnsi="宋体" w:eastAsia="宋体" w:cs="Times New Roman"/>
          <w:color w:val="auto"/>
          <w:sz w:val="24"/>
          <w:highlight w:val="none"/>
        </w:rPr>
        <w:t>%</w:t>
      </w:r>
      <w:r>
        <w:rPr>
          <w:rFonts w:hint="eastAsia" w:ascii="宋体" w:hAnsi="宋体" w:eastAsia="宋体" w:cs="Times New Roman"/>
          <w:color w:val="auto"/>
          <w:sz w:val="24"/>
          <w:highlight w:val="none"/>
        </w:rPr>
        <w:t>（工程项目为5%）</w:t>
      </w:r>
      <w:r>
        <w:rPr>
          <w:rFonts w:ascii="宋体" w:hAnsi="宋体" w:eastAsia="宋体" w:cs="Times New Roman"/>
          <w:color w:val="auto"/>
          <w:sz w:val="24"/>
          <w:highlight w:val="none"/>
        </w:rPr>
        <w:t>的扣除，用扣除后的价格参加评审</w:t>
      </w:r>
      <w:r>
        <w:rPr>
          <w:rFonts w:hint="eastAsia" w:asciiTheme="minorEastAsia" w:hAnsiTheme="minorEastAsia"/>
          <w:color w:val="auto"/>
          <w:sz w:val="24"/>
          <w:highlight w:val="none"/>
        </w:rPr>
        <w:t>。</w:t>
      </w:r>
    </w:p>
    <w:p w14:paraId="22079A56">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对于未预留份额专门面向中小企业采购的采购项目，以及预留份额项目中的非预留部分采购包，且接受大中型企业与</w:t>
      </w:r>
      <w:r>
        <w:rPr>
          <w:rFonts w:ascii="宋体" w:hAnsi="宋体" w:eastAsia="宋体" w:cs="Times New Roman"/>
          <w:b/>
          <w:color w:val="auto"/>
          <w:sz w:val="24"/>
          <w:highlight w:val="none"/>
        </w:rPr>
        <w:t>小微企业</w:t>
      </w:r>
      <w:r>
        <w:rPr>
          <w:rFonts w:ascii="宋体" w:hAnsi="宋体" w:eastAsia="宋体" w:cs="Times New Roman"/>
          <w:color w:val="auto"/>
          <w:sz w:val="24"/>
          <w:highlight w:val="none"/>
        </w:rPr>
        <w:t>组成联合体或者允许大中型企业向一家或者多家</w:t>
      </w:r>
      <w:r>
        <w:rPr>
          <w:rFonts w:ascii="宋体" w:hAnsi="宋体" w:eastAsia="宋体" w:cs="Times New Roman"/>
          <w:b/>
          <w:color w:val="auto"/>
          <w:sz w:val="24"/>
          <w:highlight w:val="none"/>
        </w:rPr>
        <w:t>小微企业</w:t>
      </w:r>
      <w:r>
        <w:rPr>
          <w:rFonts w:ascii="宋体" w:hAnsi="宋体" w:eastAsia="宋体" w:cs="Times New Roman"/>
          <w:color w:val="auto"/>
          <w:sz w:val="24"/>
          <w:highlight w:val="none"/>
        </w:rPr>
        <w:t>分包的采购项目，对于联合协议或者分包意向协议约定</w:t>
      </w:r>
      <w:r>
        <w:rPr>
          <w:rFonts w:ascii="宋体" w:hAnsi="宋体" w:eastAsia="宋体" w:cs="Times New Roman"/>
          <w:b/>
          <w:color w:val="auto"/>
          <w:sz w:val="24"/>
          <w:highlight w:val="none"/>
        </w:rPr>
        <w:t>小微企业</w:t>
      </w:r>
      <w:r>
        <w:rPr>
          <w:rFonts w:ascii="宋体" w:hAnsi="宋体" w:eastAsia="宋体" w:cs="Times New Roman"/>
          <w:color w:val="auto"/>
          <w:sz w:val="24"/>
          <w:highlight w:val="none"/>
        </w:rPr>
        <w:t>的合同份额占到合同总金额 30%以上的联合体或者大中型企业的报价给予</w:t>
      </w:r>
      <w:r>
        <w:rPr>
          <w:rFonts w:hint="eastAsia" w:ascii="宋体" w:hAnsi="宋体" w:eastAsia="宋体" w:cs="Times New Roman"/>
          <w:color w:val="auto"/>
          <w:sz w:val="24"/>
          <w:highlight w:val="none"/>
        </w:rPr>
        <w:t>3</w:t>
      </w:r>
      <w:r>
        <w:rPr>
          <w:rFonts w:ascii="宋体" w:hAnsi="宋体" w:eastAsia="宋体" w:cs="Times New Roman"/>
          <w:color w:val="auto"/>
          <w:sz w:val="24"/>
          <w:highlight w:val="none"/>
        </w:rPr>
        <w:t>%的扣除，用扣除后的价格参加评审</w:t>
      </w:r>
      <w:r>
        <w:rPr>
          <w:rFonts w:asciiTheme="minorEastAsia" w:hAnsiTheme="minorEastAsia"/>
          <w:color w:val="auto"/>
          <w:sz w:val="24"/>
          <w:highlight w:val="none"/>
        </w:rPr>
        <w:t>。</w:t>
      </w:r>
    </w:p>
    <w:p w14:paraId="19D69267">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组成联合体或者接受分包的小微企业与联合体内其他企业、分包企业之间存在直接控股、管理关系的，不享受价格扣除优惠政策</w:t>
      </w:r>
      <w:r>
        <w:rPr>
          <w:rFonts w:hint="eastAsia" w:asciiTheme="minorEastAsia" w:hAnsiTheme="minorEastAsia"/>
          <w:color w:val="auto"/>
          <w:sz w:val="24"/>
          <w:highlight w:val="none"/>
        </w:rPr>
        <w:t>。</w:t>
      </w:r>
    </w:p>
    <w:p w14:paraId="77F5FD5F">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价格扣除比例对小型企业和微型企业同等对待，不作区分</w:t>
      </w:r>
      <w:r>
        <w:rPr>
          <w:rFonts w:hint="eastAsia" w:asciiTheme="minorEastAsia" w:hAnsiTheme="minorEastAsia"/>
          <w:color w:val="auto"/>
          <w:sz w:val="24"/>
          <w:highlight w:val="none"/>
        </w:rPr>
        <w:t>。</w:t>
      </w:r>
    </w:p>
    <w:p w14:paraId="47A41343">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中小企业参加政府采购活动，应当按照竞争性磋商文件给定的格式出具《中小企业声明函》，否则不得享受相关中小企业扶持政策</w:t>
      </w:r>
      <w:r>
        <w:rPr>
          <w:rFonts w:hint="eastAsia" w:asciiTheme="minorEastAsia" w:hAnsiTheme="minorEastAsia"/>
          <w:color w:val="auto"/>
          <w:sz w:val="24"/>
          <w:highlight w:val="none"/>
        </w:rPr>
        <w:t>。</w:t>
      </w:r>
    </w:p>
    <w:p w14:paraId="42451ABE">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监狱企业提供了由省级以上监狱管理局（常州市含教育矫治局）、戒毒管理局（含新疆生产建设兵团）出具的属于监狱企业的证明文件的，视同小微企业</w:t>
      </w:r>
      <w:r>
        <w:rPr>
          <w:rFonts w:hint="eastAsia" w:asciiTheme="minorEastAsia" w:hAnsiTheme="minorEastAsia"/>
          <w:color w:val="auto"/>
          <w:sz w:val="24"/>
          <w:highlight w:val="none"/>
        </w:rPr>
        <w:t>。</w:t>
      </w:r>
    </w:p>
    <w:p w14:paraId="69EBC487">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残疾人福利性单位按竞争性磋商文件要求提供了《残疾人福利性单位声明函》（见附件）的，视同小微企业</w:t>
      </w:r>
      <w:r>
        <w:rPr>
          <w:rFonts w:hint="eastAsia" w:asciiTheme="minorEastAsia" w:hAnsiTheme="minorEastAsia"/>
          <w:color w:val="auto"/>
          <w:sz w:val="24"/>
          <w:highlight w:val="none"/>
        </w:rPr>
        <w:t>。</w:t>
      </w:r>
    </w:p>
    <w:p w14:paraId="53829934">
      <w:pPr>
        <w:pStyle w:val="34"/>
        <w:numPr>
          <w:ilvl w:val="2"/>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若供应商同时属于小型或微型企业、监狱企业、残疾人福利性单位中的两种及以上，将不重复享受小微企业价格扣减的优惠政策</w:t>
      </w:r>
      <w:r>
        <w:rPr>
          <w:rFonts w:hint="eastAsia" w:asciiTheme="minorEastAsia" w:hAnsiTheme="minorEastAsia"/>
          <w:color w:val="auto"/>
          <w:sz w:val="24"/>
          <w:highlight w:val="none"/>
        </w:rPr>
        <w:t>。</w:t>
      </w:r>
    </w:p>
    <w:p w14:paraId="2DABFA50">
      <w:pPr>
        <w:pStyle w:val="34"/>
        <w:numPr>
          <w:ilvl w:val="2"/>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其他为落实政府采购政策实施的优先采购：</w:t>
      </w:r>
      <w:r>
        <w:rPr>
          <w:rFonts w:hint="eastAsia" w:asciiTheme="minorEastAsia" w:hAnsiTheme="minorEastAsia"/>
          <w:color w:val="auto"/>
          <w:sz w:val="24"/>
          <w:highlight w:val="none"/>
          <w:u w:val="single"/>
        </w:rPr>
        <w:t xml:space="preserve">  /  </w:t>
      </w:r>
      <w:r>
        <w:rPr>
          <w:rFonts w:asciiTheme="minorEastAsia" w:hAnsiTheme="minorEastAsia"/>
          <w:color w:val="auto"/>
          <w:sz w:val="24"/>
          <w:highlight w:val="none"/>
        </w:rPr>
        <w:t>。</w:t>
      </w:r>
    </w:p>
    <w:p w14:paraId="3B5B6F3D">
      <w:pPr>
        <w:pStyle w:val="34"/>
        <w:numPr>
          <w:ilvl w:val="0"/>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磋商环节及提交最终报价后如出现以下情况的，供应商的</w:t>
      </w:r>
      <w:r>
        <w:rPr>
          <w:rFonts w:ascii="宋体" w:hAnsi="宋体" w:eastAsia="宋体" w:cs="Times New Roman"/>
          <w:b/>
          <w:color w:val="auto"/>
          <w:sz w:val="24"/>
          <w:highlight w:val="none"/>
        </w:rPr>
        <w:t>响应文件无效</w:t>
      </w:r>
      <w:r>
        <w:rPr>
          <w:rFonts w:hint="eastAsia" w:asciiTheme="minorEastAsia" w:hAnsiTheme="minorEastAsia"/>
          <w:b/>
          <w:color w:val="auto"/>
          <w:sz w:val="24"/>
          <w:highlight w:val="none"/>
        </w:rPr>
        <w:t>：</w:t>
      </w:r>
    </w:p>
    <w:p w14:paraId="298A9D7A">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供应商对实质性变动不予确认的</w:t>
      </w:r>
      <w:r>
        <w:rPr>
          <w:rFonts w:hint="eastAsia" w:asciiTheme="minorEastAsia" w:hAnsiTheme="minorEastAsia"/>
          <w:color w:val="auto"/>
          <w:sz w:val="24"/>
          <w:highlight w:val="none"/>
        </w:rPr>
        <w:t>；</w:t>
      </w:r>
    </w:p>
    <w:p w14:paraId="086445F6">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不满足磋商文件</w:t>
      </w:r>
      <w:r>
        <w:rPr>
          <w:rFonts w:cs="Segoe UI Symbol" w:asciiTheme="minorEastAsia" w:hAnsiTheme="minorEastAsia"/>
          <w:color w:val="auto"/>
          <w:sz w:val="24"/>
          <w:highlight w:val="none"/>
        </w:rPr>
        <w:t>★</w:t>
      </w:r>
      <w:r>
        <w:rPr>
          <w:rFonts w:asciiTheme="minorEastAsia" w:hAnsiTheme="minorEastAsia"/>
          <w:color w:val="auto"/>
          <w:sz w:val="24"/>
          <w:highlight w:val="none"/>
        </w:rPr>
        <w:t>号条款或磋商文件技术指标超出磋商文件</w:t>
      </w:r>
      <w:r>
        <w:rPr>
          <w:rFonts w:hint="eastAsia" w:asciiTheme="minorEastAsia" w:hAnsiTheme="minorEastAsia"/>
          <w:color w:val="auto"/>
          <w:sz w:val="24"/>
          <w:highlight w:val="none"/>
        </w:rPr>
        <w:t>《</w:t>
      </w:r>
      <w:r>
        <w:rPr>
          <w:rFonts w:asciiTheme="minorEastAsia" w:hAnsiTheme="minorEastAsia"/>
          <w:color w:val="auto"/>
          <w:sz w:val="24"/>
          <w:highlight w:val="none"/>
        </w:rPr>
        <w:t>采购需求</w:t>
      </w:r>
      <w:r>
        <w:rPr>
          <w:rFonts w:hint="eastAsia" w:asciiTheme="minorEastAsia" w:hAnsiTheme="minorEastAsia"/>
          <w:color w:val="auto"/>
          <w:sz w:val="24"/>
          <w:highlight w:val="none"/>
        </w:rPr>
        <w:t>》</w:t>
      </w:r>
      <w:r>
        <w:rPr>
          <w:rFonts w:asciiTheme="minorEastAsia" w:hAnsiTheme="minorEastAsia"/>
          <w:color w:val="auto"/>
          <w:sz w:val="24"/>
          <w:highlight w:val="none"/>
        </w:rPr>
        <w:t>中主要技术参数允许偏差的最大范围的（如有）</w:t>
      </w:r>
      <w:r>
        <w:rPr>
          <w:rFonts w:hint="eastAsia" w:asciiTheme="minorEastAsia" w:hAnsiTheme="minorEastAsia"/>
          <w:color w:val="auto"/>
          <w:sz w:val="24"/>
          <w:highlight w:val="none"/>
        </w:rPr>
        <w:t>；</w:t>
      </w:r>
    </w:p>
    <w:p w14:paraId="7F45D5A2">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未按照磋商小组规定的时间、逾期提交最终报价的</w:t>
      </w:r>
      <w:r>
        <w:rPr>
          <w:rFonts w:hint="eastAsia" w:asciiTheme="minorEastAsia" w:hAnsiTheme="minorEastAsia"/>
          <w:color w:val="auto"/>
          <w:sz w:val="24"/>
          <w:highlight w:val="none"/>
        </w:rPr>
        <w:t>；</w:t>
      </w:r>
    </w:p>
    <w:p w14:paraId="490F1031">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如供应商的最终报价超过竞争性磋商文件中规定的项目/采购包预算金额或者项目/采购包最高限价的</w:t>
      </w:r>
      <w:r>
        <w:rPr>
          <w:rFonts w:hint="eastAsia" w:asciiTheme="minorEastAsia" w:hAnsiTheme="minorEastAsia"/>
          <w:color w:val="auto"/>
          <w:sz w:val="24"/>
          <w:highlight w:val="none"/>
        </w:rPr>
        <w:t>；</w:t>
      </w:r>
    </w:p>
    <w:p w14:paraId="2E777641">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响应文件中出现可选择性或可调整的报价的（竞争性磋商文件另有规定的除外）</w:t>
      </w:r>
      <w:r>
        <w:rPr>
          <w:rFonts w:hint="eastAsia" w:asciiTheme="minorEastAsia" w:hAnsiTheme="minorEastAsia"/>
          <w:color w:val="auto"/>
          <w:sz w:val="24"/>
          <w:highlight w:val="none"/>
        </w:rPr>
        <w:t>；</w:t>
      </w:r>
    </w:p>
    <w:p w14:paraId="292492ED">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最终报价出现前后不一致，供应商对修正后的报价不予确认的</w:t>
      </w:r>
      <w:r>
        <w:rPr>
          <w:rFonts w:hint="eastAsia" w:asciiTheme="minorEastAsia" w:hAnsiTheme="minorEastAsia"/>
          <w:color w:val="auto"/>
          <w:sz w:val="24"/>
          <w:highlight w:val="none"/>
        </w:rPr>
        <w:t>；</w:t>
      </w:r>
    </w:p>
    <w:p w14:paraId="5A05EE2E">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其他：</w:t>
      </w:r>
      <w:r>
        <w:rPr>
          <w:rFonts w:hint="eastAsia" w:asciiTheme="minorEastAsia" w:hAnsiTheme="minorEastAsia"/>
          <w:color w:val="auto"/>
          <w:sz w:val="24"/>
          <w:highlight w:val="none"/>
          <w:u w:val="single"/>
        </w:rPr>
        <w:t xml:space="preserve">  /  </w:t>
      </w:r>
      <w:r>
        <w:rPr>
          <w:rFonts w:hint="eastAsia" w:asciiTheme="minorEastAsia" w:hAnsiTheme="minorEastAsia"/>
          <w:color w:val="auto"/>
          <w:sz w:val="24"/>
          <w:highlight w:val="none"/>
        </w:rPr>
        <w:t>。</w:t>
      </w:r>
    </w:p>
    <w:p w14:paraId="19099376">
      <w:pPr>
        <w:pStyle w:val="34"/>
        <w:numPr>
          <w:ilvl w:val="0"/>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评审方法和评审标准</w:t>
      </w:r>
    </w:p>
    <w:p w14:paraId="4FC258AB">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本项目采用的评审方法为：本项目的评审采用综合评分法。综合评分法，是指响应文件满足磋商文件全部实质性要求且按评审因素的量化指标评审得分最高的供应商为成交候选供应商的评审方法</w:t>
      </w:r>
      <w:r>
        <w:rPr>
          <w:rFonts w:hint="eastAsia" w:asciiTheme="minorEastAsia" w:hAnsiTheme="minorEastAsia"/>
          <w:color w:val="auto"/>
          <w:sz w:val="24"/>
          <w:highlight w:val="none"/>
        </w:rPr>
        <w:t>。</w:t>
      </w:r>
    </w:p>
    <w:p w14:paraId="52F1D799">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竞争性磋商文件中没有规定的评审标准不得作为评审依据</w:t>
      </w:r>
      <w:r>
        <w:rPr>
          <w:rFonts w:hint="eastAsia" w:asciiTheme="minorEastAsia" w:hAnsiTheme="minorEastAsia"/>
          <w:color w:val="auto"/>
          <w:sz w:val="24"/>
          <w:highlight w:val="none"/>
        </w:rPr>
        <w:t>。</w:t>
      </w:r>
    </w:p>
    <w:p w14:paraId="43240675">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非政府强制采购的节能产品或环境标志产品，依据品目清单和认证证书实施政府优先采购。优先采购的具体规定（如涉及</w:t>
      </w:r>
      <w:r>
        <w:rPr>
          <w:rFonts w:hint="eastAsia" w:asciiTheme="minorEastAsia" w:hAnsiTheme="minorEastAsia"/>
          <w:color w:val="auto"/>
          <w:sz w:val="24"/>
          <w:highlight w:val="none"/>
        </w:rPr>
        <w:t>）</w:t>
      </w:r>
      <w:r>
        <w:rPr>
          <w:rFonts w:hint="eastAsia" w:asciiTheme="minorEastAsia" w:hAnsiTheme="minorEastAsia"/>
          <w:color w:val="auto"/>
          <w:sz w:val="24"/>
          <w:highlight w:val="none"/>
          <w:u w:val="single"/>
        </w:rPr>
        <w:t xml:space="preserve">  /  </w:t>
      </w:r>
      <w:r>
        <w:rPr>
          <w:rFonts w:hint="eastAsia" w:asciiTheme="minorEastAsia" w:hAnsiTheme="minorEastAsia"/>
          <w:color w:val="auto"/>
          <w:sz w:val="24"/>
          <w:highlight w:val="none"/>
        </w:rPr>
        <w:t>。</w:t>
      </w:r>
    </w:p>
    <w:p w14:paraId="1A070093">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关于无线局域网认证产品政府采购清单中的产品，优先采购的具体规定（如涉及）</w:t>
      </w:r>
      <w:r>
        <w:rPr>
          <w:rFonts w:hint="eastAsia" w:asciiTheme="minorEastAsia" w:hAnsiTheme="minorEastAsia"/>
          <w:color w:val="auto"/>
          <w:sz w:val="24"/>
          <w:highlight w:val="none"/>
          <w:u w:val="single"/>
        </w:rPr>
        <w:t xml:space="preserve">  /  </w:t>
      </w:r>
      <w:r>
        <w:rPr>
          <w:rFonts w:hint="eastAsia" w:asciiTheme="minorEastAsia" w:hAnsiTheme="minorEastAsia"/>
          <w:color w:val="auto"/>
          <w:sz w:val="24"/>
          <w:highlight w:val="none"/>
        </w:rPr>
        <w:t>。</w:t>
      </w:r>
    </w:p>
    <w:p w14:paraId="4C2E999D">
      <w:pPr>
        <w:pStyle w:val="34"/>
        <w:numPr>
          <w:ilvl w:val="0"/>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确定</w:t>
      </w:r>
      <w:bookmarkStart w:id="472" w:name="_Toc150480784"/>
      <w:bookmarkStart w:id="473" w:name="_Toc151193788"/>
      <w:bookmarkStart w:id="474" w:name="_Toc226309790"/>
      <w:bookmarkStart w:id="475" w:name="_Toc164608815"/>
      <w:bookmarkStart w:id="476" w:name="_Toc164351640"/>
      <w:bookmarkStart w:id="477" w:name="_Toc127161460"/>
      <w:bookmarkStart w:id="478" w:name="_Toc151193644"/>
      <w:bookmarkStart w:id="479" w:name="_Toc151193716"/>
      <w:bookmarkStart w:id="480" w:name="_Toc127151747"/>
      <w:bookmarkStart w:id="481" w:name="_Toc164229241"/>
      <w:bookmarkStart w:id="482" w:name="_Toc265228384"/>
      <w:bookmarkStart w:id="483" w:name="_Toc164608660"/>
      <w:bookmarkStart w:id="484" w:name="_Toc150774646"/>
      <w:bookmarkStart w:id="485" w:name="_Toc127151546"/>
      <w:bookmarkStart w:id="486" w:name="_Toc150509297"/>
      <w:bookmarkStart w:id="487" w:name="_Toc305158814"/>
      <w:bookmarkStart w:id="488" w:name="_Toc164229387"/>
      <w:bookmarkStart w:id="489" w:name="_Toc520356170"/>
      <w:bookmarkStart w:id="490" w:name="_Toc149720839"/>
      <w:bookmarkStart w:id="491" w:name="_Toc264969236"/>
      <w:bookmarkStart w:id="492" w:name="_Toc226965819"/>
      <w:bookmarkStart w:id="493" w:name="_Toc150774751"/>
      <w:bookmarkStart w:id="494" w:name="_Toc226965736"/>
      <w:bookmarkStart w:id="495" w:name="_Toc226337242"/>
      <w:bookmarkStart w:id="496" w:name="_Toc151193934"/>
      <w:bookmarkStart w:id="497" w:name="_Toc305158888"/>
      <w:bookmarkStart w:id="498" w:name="_Toc151190173"/>
      <w:bookmarkStart w:id="499" w:name="_Ref467307010"/>
      <w:bookmarkStart w:id="500" w:name="_Toc151193860"/>
      <w:bookmarkStart w:id="501" w:name="_Toc142311048"/>
      <w:bookmarkStart w:id="502" w:name="_Toc195842911"/>
      <w:r>
        <w:rPr>
          <w:rFonts w:asciiTheme="minorEastAsia" w:hAnsiTheme="minorEastAsia"/>
          <w:color w:val="auto"/>
          <w:sz w:val="24"/>
          <w:highlight w:val="none"/>
        </w:rPr>
        <w:t>成交候选人名单</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14:paraId="48C12D5D">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Theme="minorEastAsia" w:hAnsiTheme="minorEastAsia"/>
          <w:color w:val="auto"/>
          <w:sz w:val="24"/>
          <w:highlight w:val="none"/>
        </w:rPr>
        <w:t>。</w:t>
      </w:r>
    </w:p>
    <w:p w14:paraId="71922FD5">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kern w:val="0"/>
          <w:sz w:val="24"/>
          <w:szCs w:val="20"/>
          <w:highlight w:val="none"/>
        </w:rPr>
        <w:t>磋商小组根据上述供应商排序，依次推荐排序前</w:t>
      </w:r>
      <w:r>
        <w:rPr>
          <w:rFonts w:hint="eastAsia" w:ascii="宋体" w:hAnsi="宋体" w:eastAsia="宋体" w:cs="Times New Roman"/>
          <w:color w:val="auto"/>
          <w:sz w:val="24"/>
          <w:highlight w:val="none"/>
        </w:rPr>
        <w:t>3</w:t>
      </w:r>
      <w:r>
        <w:rPr>
          <w:rFonts w:ascii="宋体" w:hAnsi="宋体" w:eastAsia="宋体" w:cs="Times New Roman"/>
          <w:color w:val="auto"/>
          <w:sz w:val="24"/>
          <w:highlight w:val="none"/>
        </w:rPr>
        <w:t>名</w:t>
      </w:r>
      <w:r>
        <w:rPr>
          <w:rFonts w:ascii="宋体" w:hAnsi="宋体" w:eastAsia="宋体" w:cs="Times New Roman"/>
          <w:color w:val="auto"/>
          <w:kern w:val="0"/>
          <w:sz w:val="24"/>
          <w:szCs w:val="20"/>
          <w:highlight w:val="none"/>
        </w:rPr>
        <w:t>的供应商为</w:t>
      </w:r>
      <w:r>
        <w:rPr>
          <w:rFonts w:ascii="宋体" w:hAnsi="宋体" w:eastAsia="宋体" w:cs="Times New Roman"/>
          <w:snapToGrid w:val="0"/>
          <w:color w:val="auto"/>
          <w:kern w:val="0"/>
          <w:sz w:val="24"/>
          <w:szCs w:val="21"/>
          <w:highlight w:val="none"/>
        </w:rPr>
        <w:t>成交候选供应商</w:t>
      </w:r>
      <w:r>
        <w:rPr>
          <w:rFonts w:ascii="宋体" w:hAnsi="宋体" w:eastAsia="宋体" w:cs="Times New Roman"/>
          <w:color w:val="auto"/>
          <w:kern w:val="0"/>
          <w:sz w:val="24"/>
          <w:szCs w:val="20"/>
          <w:highlight w:val="none"/>
        </w:rPr>
        <w:t>（若在磋商文件允许的情形下提交最终报价的供应商为二家，则依次推荐二名供应商为成交候选供应商），并编写评审报告</w:t>
      </w:r>
      <w:r>
        <w:rPr>
          <w:rFonts w:hint="eastAsia" w:asciiTheme="minorEastAsia" w:hAnsiTheme="minorEastAsia"/>
          <w:color w:val="auto"/>
          <w:kern w:val="0"/>
          <w:sz w:val="24"/>
          <w:szCs w:val="20"/>
          <w:highlight w:val="none"/>
        </w:rPr>
        <w:t>。</w:t>
      </w:r>
    </w:p>
    <w:p w14:paraId="6A3E90D7">
      <w:pPr>
        <w:pStyle w:val="34"/>
        <w:numPr>
          <w:ilvl w:val="1"/>
          <w:numId w:val="3"/>
        </w:numPr>
        <w:spacing w:line="360" w:lineRule="auto"/>
        <w:ind w:firstLineChars="0"/>
        <w:jc w:val="left"/>
        <w:rPr>
          <w:rFonts w:asciiTheme="minorEastAsia" w:hAnsiTheme="minorEastAsia"/>
          <w:color w:val="auto"/>
          <w:sz w:val="24"/>
          <w:highlight w:val="none"/>
        </w:rPr>
      </w:pPr>
      <w:r>
        <w:rPr>
          <w:rFonts w:ascii="宋体" w:hAnsi="宋体" w:eastAsia="宋体" w:cs="Times New Roman"/>
          <w:color w:val="auto"/>
          <w:sz w:val="24"/>
          <w:highlight w:val="none"/>
        </w:rPr>
        <w:t>磋商小组要对评分汇总情况进行复核，特别是对排名第一的、报价最低的、响应文件被认定为无效的情形进行重点复核</w:t>
      </w:r>
      <w:r>
        <w:rPr>
          <w:rFonts w:hint="eastAsia" w:asciiTheme="minorEastAsia" w:hAnsiTheme="minorEastAsia"/>
          <w:color w:val="auto"/>
          <w:sz w:val="24"/>
          <w:highlight w:val="none"/>
        </w:rPr>
        <w:t>。</w:t>
      </w:r>
    </w:p>
    <w:p w14:paraId="62648D22">
      <w:pPr>
        <w:pStyle w:val="34"/>
        <w:numPr>
          <w:ilvl w:val="0"/>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报告违法行为</w:t>
      </w:r>
    </w:p>
    <w:p w14:paraId="04303E78">
      <w:pPr>
        <w:pStyle w:val="34"/>
        <w:numPr>
          <w:ilvl w:val="1"/>
          <w:numId w:val="3"/>
        </w:numPr>
        <w:spacing w:line="360" w:lineRule="auto"/>
        <w:ind w:firstLineChars="0"/>
        <w:jc w:val="left"/>
        <w:rPr>
          <w:rFonts w:asciiTheme="minorEastAsia" w:hAnsiTheme="minorEastAsia"/>
          <w:color w:val="auto"/>
          <w:sz w:val="24"/>
          <w:highlight w:val="none"/>
        </w:rPr>
      </w:pPr>
      <w:r>
        <w:rPr>
          <w:rFonts w:asciiTheme="minorEastAsia" w:hAnsiTheme="minorEastAsia"/>
          <w:color w:val="auto"/>
          <w:sz w:val="24"/>
          <w:highlight w:val="none"/>
        </w:rPr>
        <w:t>磋商小组在评审过程中发现供应商有行贿、提供虚假材料或者串通等违法行为时，有向采购人、采购代理机构或者有关部门报告的职责</w:t>
      </w:r>
      <w:r>
        <w:rPr>
          <w:rFonts w:hint="eastAsia" w:asciiTheme="minorEastAsia" w:hAnsiTheme="minorEastAsia"/>
          <w:color w:val="auto"/>
          <w:sz w:val="24"/>
          <w:highlight w:val="none"/>
        </w:rPr>
        <w:t>。</w:t>
      </w:r>
    </w:p>
    <w:p w14:paraId="729467AA">
      <w:pPr>
        <w:pStyle w:val="34"/>
        <w:numPr>
          <w:ilvl w:val="0"/>
          <w:numId w:val="3"/>
        </w:numPr>
        <w:spacing w:line="360" w:lineRule="auto"/>
        <w:ind w:firstLineChars="0"/>
        <w:jc w:val="left"/>
        <w:rPr>
          <w:rFonts w:asciiTheme="minorEastAsia" w:hAnsiTheme="minorEastAsia"/>
          <w:color w:val="auto"/>
          <w:sz w:val="24"/>
          <w:highlight w:val="none"/>
        </w:rPr>
      </w:pPr>
      <w:r>
        <w:rPr>
          <w:rFonts w:hint="eastAsia" w:ascii="宋体" w:hAnsi="宋体"/>
          <w:bCs/>
          <w:color w:val="auto"/>
          <w:sz w:val="24"/>
          <w:highlight w:val="none"/>
        </w:rPr>
        <w:t>未通过资格审查或符合性审查的供应商，磋商小组将在“</w:t>
      </w:r>
      <w:r>
        <w:rPr>
          <w:rFonts w:hint="eastAsia" w:ascii="宋体" w:hAnsi="宋体"/>
          <w:color w:val="auto"/>
          <w:sz w:val="24"/>
          <w:szCs w:val="24"/>
          <w:highlight w:val="none"/>
        </w:rPr>
        <w:t>苏采云”系统</w:t>
      </w:r>
      <w:r>
        <w:rPr>
          <w:rFonts w:hint="eastAsia" w:ascii="宋体" w:hAnsi="宋体"/>
          <w:bCs/>
          <w:color w:val="auto"/>
          <w:sz w:val="24"/>
          <w:highlight w:val="none"/>
        </w:rPr>
        <w:t>中告知未通过资格审查或符合性审查的原因，评审</w:t>
      </w:r>
      <w:r>
        <w:rPr>
          <w:rFonts w:ascii="宋体" w:hAnsi="宋体"/>
          <w:bCs/>
          <w:color w:val="auto"/>
          <w:sz w:val="24"/>
          <w:highlight w:val="none"/>
        </w:rPr>
        <w:t>结束后，</w:t>
      </w:r>
      <w:r>
        <w:rPr>
          <w:rFonts w:hint="eastAsia" w:ascii="宋体" w:hAnsi="宋体"/>
          <w:bCs/>
          <w:color w:val="auto"/>
          <w:sz w:val="24"/>
          <w:highlight w:val="none"/>
        </w:rPr>
        <w:t>代理机构</w:t>
      </w:r>
      <w:r>
        <w:rPr>
          <w:rFonts w:ascii="宋体" w:hAnsi="宋体"/>
          <w:bCs/>
          <w:color w:val="auto"/>
          <w:sz w:val="24"/>
          <w:highlight w:val="none"/>
        </w:rPr>
        <w:t>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15F2FCFD">
      <w:pPr>
        <w:pStyle w:val="34"/>
        <w:numPr>
          <w:ilvl w:val="1"/>
          <w:numId w:val="3"/>
        </w:numPr>
        <w:spacing w:line="360" w:lineRule="auto"/>
        <w:ind w:firstLineChars="0"/>
        <w:jc w:val="left"/>
        <w:rPr>
          <w:rFonts w:asciiTheme="minorEastAsia" w:hAnsiTheme="minorEastAsia"/>
          <w:color w:val="auto"/>
          <w:sz w:val="24"/>
          <w:highlight w:val="none"/>
        </w:rPr>
        <w:sectPr>
          <w:pgSz w:w="11906" w:h="16838"/>
          <w:pgMar w:top="1440" w:right="1800" w:bottom="1440" w:left="1800" w:header="851" w:footer="992" w:gutter="0"/>
          <w:cols w:space="425" w:num="1"/>
          <w:docGrid w:type="lines" w:linePitch="312" w:charSpace="0"/>
        </w:sectPr>
      </w:pPr>
    </w:p>
    <w:p w14:paraId="016530B1">
      <w:pPr>
        <w:spacing w:line="360" w:lineRule="auto"/>
        <w:jc w:val="center"/>
        <w:rPr>
          <w:rFonts w:asciiTheme="minorEastAsia" w:hAnsiTheme="minorEastAsia"/>
          <w:b/>
          <w:color w:val="auto"/>
          <w:sz w:val="28"/>
          <w:szCs w:val="28"/>
          <w:highlight w:val="none"/>
        </w:rPr>
      </w:pPr>
      <w:r>
        <w:rPr>
          <w:rFonts w:asciiTheme="minorEastAsia" w:hAnsiTheme="minorEastAsia"/>
          <w:b/>
          <w:color w:val="auto"/>
          <w:sz w:val="28"/>
          <w:szCs w:val="28"/>
          <w:highlight w:val="none"/>
        </w:rPr>
        <w:t>二、评</w:t>
      </w:r>
      <w:r>
        <w:rPr>
          <w:rFonts w:hint="eastAsia" w:asciiTheme="minorEastAsia" w:hAnsiTheme="minorEastAsia"/>
          <w:b/>
          <w:color w:val="auto"/>
          <w:sz w:val="28"/>
          <w:szCs w:val="28"/>
          <w:highlight w:val="none"/>
        </w:rPr>
        <w:t>审</w:t>
      </w:r>
      <w:r>
        <w:rPr>
          <w:rFonts w:asciiTheme="minorEastAsia" w:hAnsiTheme="minorEastAsia"/>
          <w:b/>
          <w:color w:val="auto"/>
          <w:sz w:val="28"/>
          <w:szCs w:val="28"/>
          <w:highlight w:val="none"/>
        </w:rPr>
        <w:t>标准</w:t>
      </w:r>
    </w:p>
    <w:tbl>
      <w:tblPr>
        <w:tblStyle w:val="21"/>
        <w:tblpPr w:leftFromText="180" w:rightFromText="180" w:vertAnchor="text" w:horzAnchor="page" w:tblpX="1653" w:tblpY="311"/>
        <w:tblOverlap w:val="never"/>
        <w:tblW w:w="51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230"/>
        <w:gridCol w:w="697"/>
        <w:gridCol w:w="4531"/>
        <w:gridCol w:w="1546"/>
      </w:tblGrid>
      <w:tr w14:paraId="7869A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4" w:type="pct"/>
            <w:vAlign w:val="center"/>
          </w:tcPr>
          <w:p w14:paraId="1C2F40FB">
            <w:pPr>
              <w:widowControl/>
              <w:jc w:val="center"/>
              <w:textAlignment w:val="center"/>
              <w:rPr>
                <w:rFonts w:ascii="Times New Roman" w:hAnsi="Times New Roman" w:eastAsia="宋体" w:cs="Times New Roman"/>
                <w:b/>
                <w:bCs/>
                <w:color w:val="auto"/>
                <w:sz w:val="24"/>
                <w:szCs w:val="24"/>
                <w:highlight w:val="none"/>
              </w:rPr>
            </w:pPr>
            <w:r>
              <w:rPr>
                <w:rStyle w:val="63"/>
                <w:rFonts w:hint="default" w:ascii="Times New Roman" w:hAnsi="Times New Roman" w:eastAsia="宋体" w:cs="Times New Roman"/>
                <w:b/>
                <w:bCs/>
                <w:color w:val="auto"/>
                <w:sz w:val="24"/>
                <w:szCs w:val="24"/>
                <w:highlight w:val="none"/>
              </w:rPr>
              <w:t>序号</w:t>
            </w:r>
          </w:p>
        </w:tc>
        <w:tc>
          <w:tcPr>
            <w:tcW w:w="697" w:type="pct"/>
            <w:vAlign w:val="center"/>
          </w:tcPr>
          <w:p w14:paraId="63E9B230">
            <w:pPr>
              <w:widowControl/>
              <w:jc w:val="center"/>
              <w:textAlignment w:val="center"/>
              <w:rPr>
                <w:rFonts w:ascii="Times New Roman" w:hAnsi="Times New Roman" w:eastAsia="宋体" w:cs="Times New Roman"/>
                <w:b/>
                <w:bCs/>
                <w:color w:val="auto"/>
                <w:sz w:val="24"/>
                <w:szCs w:val="24"/>
                <w:highlight w:val="none"/>
              </w:rPr>
            </w:pPr>
            <w:r>
              <w:rPr>
                <w:rStyle w:val="63"/>
                <w:rFonts w:hint="default" w:ascii="Times New Roman" w:hAnsi="Times New Roman" w:eastAsia="宋体" w:cs="Times New Roman"/>
                <w:b/>
                <w:bCs/>
                <w:color w:val="auto"/>
                <w:sz w:val="24"/>
                <w:szCs w:val="24"/>
                <w:highlight w:val="none"/>
              </w:rPr>
              <w:t>评审因素</w:t>
            </w:r>
          </w:p>
        </w:tc>
        <w:tc>
          <w:tcPr>
            <w:tcW w:w="395" w:type="pct"/>
            <w:vAlign w:val="center"/>
          </w:tcPr>
          <w:p w14:paraId="7DE6EB22">
            <w:pPr>
              <w:widowControl/>
              <w:jc w:val="center"/>
              <w:textAlignment w:val="center"/>
              <w:rPr>
                <w:rFonts w:ascii="Times New Roman" w:hAnsi="Times New Roman" w:eastAsia="宋体" w:cs="Times New Roman"/>
                <w:b/>
                <w:bCs/>
                <w:color w:val="auto"/>
                <w:sz w:val="24"/>
                <w:szCs w:val="24"/>
                <w:highlight w:val="none"/>
              </w:rPr>
            </w:pPr>
            <w:r>
              <w:rPr>
                <w:rStyle w:val="63"/>
                <w:rFonts w:hint="default" w:ascii="Times New Roman" w:hAnsi="Times New Roman" w:eastAsia="宋体" w:cs="Times New Roman"/>
                <w:b/>
                <w:bCs/>
                <w:color w:val="auto"/>
                <w:sz w:val="24"/>
                <w:szCs w:val="24"/>
                <w:highlight w:val="none"/>
              </w:rPr>
              <w:t>分值</w:t>
            </w:r>
          </w:p>
        </w:tc>
        <w:tc>
          <w:tcPr>
            <w:tcW w:w="2568" w:type="pct"/>
            <w:vAlign w:val="center"/>
          </w:tcPr>
          <w:p w14:paraId="17778AAB">
            <w:pPr>
              <w:widowControl/>
              <w:jc w:val="center"/>
              <w:textAlignment w:val="center"/>
              <w:rPr>
                <w:rFonts w:ascii="Times New Roman" w:hAnsi="Times New Roman" w:eastAsia="宋体" w:cs="Times New Roman"/>
                <w:b/>
                <w:bCs/>
                <w:color w:val="auto"/>
                <w:sz w:val="24"/>
                <w:szCs w:val="24"/>
                <w:highlight w:val="none"/>
              </w:rPr>
            </w:pPr>
            <w:r>
              <w:rPr>
                <w:rStyle w:val="63"/>
                <w:rFonts w:hint="default" w:ascii="Times New Roman" w:hAnsi="Times New Roman" w:eastAsia="宋体" w:cs="Times New Roman"/>
                <w:b/>
                <w:bCs/>
                <w:color w:val="auto"/>
                <w:sz w:val="24"/>
                <w:szCs w:val="24"/>
                <w:highlight w:val="none"/>
              </w:rPr>
              <w:t>评分标准</w:t>
            </w:r>
          </w:p>
        </w:tc>
        <w:tc>
          <w:tcPr>
            <w:tcW w:w="873" w:type="pct"/>
            <w:vAlign w:val="center"/>
          </w:tcPr>
          <w:p w14:paraId="41EFA268">
            <w:pPr>
              <w:widowControl/>
              <w:jc w:val="center"/>
              <w:textAlignment w:val="center"/>
              <w:rPr>
                <w:rFonts w:ascii="Times New Roman" w:hAnsi="Times New Roman" w:eastAsia="宋体" w:cs="Times New Roman"/>
                <w:b/>
                <w:bCs/>
                <w:color w:val="auto"/>
                <w:sz w:val="24"/>
                <w:szCs w:val="24"/>
                <w:highlight w:val="none"/>
              </w:rPr>
            </w:pPr>
            <w:r>
              <w:rPr>
                <w:rStyle w:val="63"/>
                <w:rFonts w:hint="default" w:ascii="Times New Roman" w:hAnsi="Times New Roman" w:eastAsia="宋体" w:cs="Times New Roman"/>
                <w:b/>
                <w:bCs/>
                <w:color w:val="auto"/>
                <w:sz w:val="24"/>
                <w:szCs w:val="24"/>
                <w:highlight w:val="none"/>
              </w:rPr>
              <w:t>评标依据</w:t>
            </w:r>
          </w:p>
        </w:tc>
      </w:tr>
      <w:tr w14:paraId="5E279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000" w:type="pct"/>
            <w:gridSpan w:val="5"/>
            <w:vAlign w:val="center"/>
          </w:tcPr>
          <w:p w14:paraId="6BB8DE41">
            <w:pPr>
              <w:widowControl/>
              <w:jc w:val="left"/>
              <w:textAlignment w:val="center"/>
              <w:rPr>
                <w:rFonts w:ascii="Times New Roman" w:hAnsi="Times New Roman" w:eastAsia="宋体" w:cs="Times New Roman"/>
                <w:b/>
                <w:bCs/>
                <w:color w:val="auto"/>
                <w:sz w:val="24"/>
                <w:szCs w:val="24"/>
                <w:highlight w:val="none"/>
              </w:rPr>
            </w:pPr>
            <w:r>
              <w:rPr>
                <w:rStyle w:val="60"/>
                <w:rFonts w:hint="default" w:ascii="Times New Roman" w:hAnsi="Times New Roman" w:cs="Times New Roman"/>
                <w:color w:val="auto"/>
                <w:sz w:val="24"/>
                <w:szCs w:val="24"/>
                <w:highlight w:val="none"/>
              </w:rPr>
              <w:t>一、价格分（</w:t>
            </w:r>
            <w:r>
              <w:rPr>
                <w:rStyle w:val="60"/>
                <w:rFonts w:ascii="Times New Roman" w:hAnsi="Times New Roman" w:cs="Times New Roman"/>
                <w:color w:val="auto"/>
                <w:sz w:val="24"/>
                <w:szCs w:val="24"/>
                <w:highlight w:val="none"/>
              </w:rPr>
              <w:t>10</w:t>
            </w:r>
            <w:r>
              <w:rPr>
                <w:rStyle w:val="60"/>
                <w:rFonts w:hint="default" w:ascii="Times New Roman" w:hAnsi="Times New Roman" w:cs="Times New Roman"/>
                <w:color w:val="auto"/>
                <w:sz w:val="24"/>
                <w:szCs w:val="24"/>
                <w:highlight w:val="none"/>
              </w:rPr>
              <w:t>分）</w:t>
            </w:r>
          </w:p>
        </w:tc>
      </w:tr>
      <w:tr w14:paraId="2392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4" w:type="pct"/>
            <w:vAlign w:val="center"/>
          </w:tcPr>
          <w:p w14:paraId="6DE4EEBC">
            <w:pPr>
              <w:widowControl/>
              <w:jc w:val="center"/>
              <w:textAlignment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kern w:val="0"/>
                <w:sz w:val="24"/>
                <w:szCs w:val="24"/>
                <w:highlight w:val="none"/>
              </w:rPr>
              <w:t>1</w:t>
            </w:r>
          </w:p>
        </w:tc>
        <w:tc>
          <w:tcPr>
            <w:tcW w:w="697" w:type="pct"/>
            <w:vAlign w:val="center"/>
          </w:tcPr>
          <w:p w14:paraId="1DA76BD5">
            <w:pPr>
              <w:widowControl/>
              <w:jc w:val="center"/>
              <w:textAlignment w:val="center"/>
              <w:rPr>
                <w:rFonts w:ascii="Times New Roman" w:hAnsi="Times New Roman" w:eastAsia="宋体" w:cs="Times New Roman"/>
                <w:color w:val="auto"/>
                <w:sz w:val="24"/>
                <w:szCs w:val="24"/>
                <w:highlight w:val="none"/>
              </w:rPr>
            </w:pPr>
            <w:r>
              <w:rPr>
                <w:rStyle w:val="64"/>
                <w:rFonts w:hint="default" w:ascii="Times New Roman" w:hAnsi="Times New Roman" w:cs="Times New Roman"/>
                <w:color w:val="auto"/>
                <w:sz w:val="24"/>
                <w:szCs w:val="24"/>
                <w:highlight w:val="none"/>
              </w:rPr>
              <w:t>报价</w:t>
            </w:r>
          </w:p>
        </w:tc>
        <w:tc>
          <w:tcPr>
            <w:tcW w:w="395" w:type="pct"/>
            <w:vAlign w:val="center"/>
          </w:tcPr>
          <w:p w14:paraId="139A95D0">
            <w:pPr>
              <w:widowControl/>
              <w:jc w:val="center"/>
              <w:textAlignment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kern w:val="0"/>
                <w:sz w:val="24"/>
                <w:szCs w:val="24"/>
                <w:highlight w:val="none"/>
              </w:rPr>
              <w:t>10</w:t>
            </w:r>
          </w:p>
        </w:tc>
        <w:tc>
          <w:tcPr>
            <w:tcW w:w="2568" w:type="pct"/>
            <w:vAlign w:val="center"/>
          </w:tcPr>
          <w:p w14:paraId="408C0830">
            <w:pPr>
              <w:widowControl/>
              <w:textAlignment w:val="center"/>
              <w:rPr>
                <w:color w:val="auto"/>
                <w:sz w:val="24"/>
                <w:szCs w:val="24"/>
                <w:highlight w:val="none"/>
              </w:rPr>
            </w:pPr>
            <w:r>
              <w:rPr>
                <w:rFonts w:hint="eastAsia"/>
                <w:color w:val="auto"/>
                <w:sz w:val="24"/>
                <w:szCs w:val="24"/>
                <w:highlight w:val="none"/>
              </w:rPr>
              <w:t>满足磋商文件要求且最后报价最低的供应商的价格为磋商基准价，其价格分为满分。其他供应商的价格分统一按照下列公式计算：</w:t>
            </w:r>
            <w:r>
              <w:rPr>
                <w:rFonts w:hint="eastAsia"/>
                <w:color w:val="auto"/>
                <w:sz w:val="24"/>
                <w:szCs w:val="24"/>
                <w:highlight w:val="none"/>
              </w:rPr>
              <w:br w:type="textWrapping"/>
            </w:r>
            <w:r>
              <w:rPr>
                <w:rFonts w:hint="eastAsia"/>
                <w:color w:val="auto"/>
                <w:sz w:val="24"/>
                <w:szCs w:val="24"/>
                <w:highlight w:val="none"/>
              </w:rPr>
              <w:t>磋商报价得分=（磋商基准价/最后磋商报价）×10分</w:t>
            </w:r>
          </w:p>
        </w:tc>
        <w:tc>
          <w:tcPr>
            <w:tcW w:w="873" w:type="pct"/>
            <w:vAlign w:val="center"/>
          </w:tcPr>
          <w:p w14:paraId="16699423">
            <w:pPr>
              <w:jc w:val="center"/>
              <w:rPr>
                <w:rFonts w:ascii="Times New Roman" w:hAnsi="Times New Roman" w:eastAsia="宋体" w:cs="Times New Roman"/>
                <w:color w:val="auto"/>
                <w:sz w:val="24"/>
                <w:szCs w:val="24"/>
                <w:highlight w:val="none"/>
              </w:rPr>
            </w:pPr>
            <w:r>
              <w:rPr>
                <w:rFonts w:hint="eastAsia"/>
                <w:color w:val="auto"/>
                <w:sz w:val="24"/>
                <w:szCs w:val="24"/>
                <w:highlight w:val="none"/>
              </w:rPr>
              <w:t>此处最终报价指经过报价修正及因落实政府采购政策进行价格调整后的最终报价。</w:t>
            </w:r>
          </w:p>
        </w:tc>
      </w:tr>
      <w:tr w14:paraId="702C8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000" w:type="pct"/>
            <w:gridSpan w:val="5"/>
            <w:vAlign w:val="center"/>
          </w:tcPr>
          <w:p w14:paraId="719AB357">
            <w:pPr>
              <w:jc w:val="left"/>
              <w:rPr>
                <w:rFonts w:ascii="Times New Roman" w:hAnsi="Times New Roman" w:eastAsia="宋体" w:cs="Times New Roman"/>
                <w:color w:val="auto"/>
                <w:sz w:val="24"/>
                <w:szCs w:val="24"/>
                <w:highlight w:val="none"/>
              </w:rPr>
            </w:pPr>
            <w:r>
              <w:rPr>
                <w:rStyle w:val="60"/>
                <w:rFonts w:hint="default" w:ascii="Times New Roman" w:hAnsi="Times New Roman" w:cs="Times New Roman"/>
                <w:color w:val="auto"/>
                <w:sz w:val="24"/>
                <w:szCs w:val="24"/>
                <w:highlight w:val="none"/>
              </w:rPr>
              <w:t>二、技术分（</w:t>
            </w:r>
            <w:r>
              <w:rPr>
                <w:rStyle w:val="60"/>
                <w:rFonts w:ascii="Times New Roman" w:hAnsi="Times New Roman" w:cs="Times New Roman"/>
                <w:color w:val="auto"/>
                <w:sz w:val="24"/>
                <w:szCs w:val="24"/>
                <w:highlight w:val="none"/>
              </w:rPr>
              <w:t>57</w:t>
            </w:r>
            <w:r>
              <w:rPr>
                <w:rStyle w:val="60"/>
                <w:rFonts w:hint="default" w:ascii="Times New Roman" w:hAnsi="Times New Roman" w:cs="Times New Roman"/>
                <w:color w:val="auto"/>
                <w:sz w:val="24"/>
                <w:szCs w:val="24"/>
                <w:highlight w:val="none"/>
              </w:rPr>
              <w:t>分）</w:t>
            </w:r>
          </w:p>
        </w:tc>
      </w:tr>
      <w:tr w14:paraId="302E8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5" w:hRule="atLeast"/>
        </w:trPr>
        <w:tc>
          <w:tcPr>
            <w:tcW w:w="464" w:type="pct"/>
            <w:vAlign w:val="center"/>
          </w:tcPr>
          <w:p w14:paraId="77E142A7">
            <w:pPr>
              <w:widowControl/>
              <w:tabs>
                <w:tab w:val="left" w:pos="1200"/>
              </w:tabs>
              <w:autoSpaceDE w:val="0"/>
              <w:autoSpaceDN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697" w:type="pct"/>
            <w:vAlign w:val="center"/>
          </w:tcPr>
          <w:p w14:paraId="4DAED275">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项目理解</w:t>
            </w:r>
          </w:p>
          <w:p w14:paraId="50368699">
            <w:pPr>
              <w:widowControl/>
              <w:spacing w:line="360" w:lineRule="exact"/>
              <w:jc w:val="center"/>
              <w:rPr>
                <w:rFonts w:ascii="宋体" w:hAnsi="宋体" w:cs="宋体"/>
                <w:color w:val="auto"/>
                <w:sz w:val="24"/>
                <w:szCs w:val="24"/>
                <w:highlight w:val="none"/>
              </w:rPr>
            </w:pPr>
          </w:p>
        </w:tc>
        <w:tc>
          <w:tcPr>
            <w:tcW w:w="395" w:type="pct"/>
            <w:vAlign w:val="center"/>
          </w:tcPr>
          <w:p w14:paraId="7CAA780B">
            <w:pPr>
              <w:widowControl/>
              <w:spacing w:line="360" w:lineRule="exact"/>
              <w:jc w:val="center"/>
              <w:rPr>
                <w:rFonts w:ascii="宋体" w:hAnsi="宋体" w:cs="宋体"/>
                <w:bCs/>
                <w:color w:val="auto"/>
                <w:sz w:val="24"/>
                <w:szCs w:val="24"/>
                <w:highlight w:val="none"/>
              </w:rPr>
            </w:pPr>
            <w:r>
              <w:rPr>
                <w:rFonts w:hint="eastAsia" w:ascii="宋体" w:hAnsi="宋体" w:cs="宋体"/>
                <w:bCs/>
                <w:color w:val="auto"/>
                <w:sz w:val="24"/>
                <w:szCs w:val="24"/>
                <w:highlight w:val="none"/>
              </w:rPr>
              <w:t>6</w:t>
            </w:r>
          </w:p>
        </w:tc>
        <w:tc>
          <w:tcPr>
            <w:tcW w:w="2568" w:type="pct"/>
            <w:vAlign w:val="center"/>
          </w:tcPr>
          <w:p w14:paraId="2E5DAD1B">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响应单位熟悉常州市产业发展基础，能精准对接项目需求与常州发展目标。针对本项目实际提供的项目理解，范围包括：</w:t>
            </w:r>
          </w:p>
          <w:p w14:paraId="1A3A344B">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①对项目设立背景的理解和分析；</w:t>
            </w:r>
          </w:p>
          <w:p w14:paraId="1A4DCD57">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②对编制内容及相关政策的理解；</w:t>
            </w:r>
          </w:p>
          <w:p w14:paraId="7E9F2416">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上述每项应逐条叙述，内容完整，条理清晰的得3分；内容基本完整，条理较为清晰的得1分；每项叙述内容完全脱离采购需求或未作完整叙述的不得分。本项最高得6分。</w:t>
            </w:r>
          </w:p>
        </w:tc>
        <w:tc>
          <w:tcPr>
            <w:tcW w:w="873" w:type="pct"/>
            <w:vAlign w:val="center"/>
          </w:tcPr>
          <w:p w14:paraId="4FA9B566">
            <w:pPr>
              <w:widowControl/>
              <w:textAlignment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根据响应方案进行评审。</w:t>
            </w:r>
          </w:p>
        </w:tc>
      </w:tr>
      <w:tr w14:paraId="0A437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4" w:type="pct"/>
            <w:vAlign w:val="center"/>
          </w:tcPr>
          <w:p w14:paraId="5AD441AF">
            <w:pPr>
              <w:widowControl/>
              <w:tabs>
                <w:tab w:val="left" w:pos="1200"/>
              </w:tabs>
              <w:autoSpaceDE w:val="0"/>
              <w:autoSpaceDN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697" w:type="pct"/>
            <w:vAlign w:val="center"/>
          </w:tcPr>
          <w:p w14:paraId="7CE1FF52">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编制思路与技术路线</w:t>
            </w:r>
          </w:p>
        </w:tc>
        <w:tc>
          <w:tcPr>
            <w:tcW w:w="395" w:type="pct"/>
            <w:vAlign w:val="center"/>
          </w:tcPr>
          <w:p w14:paraId="07F14330">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9</w:t>
            </w:r>
          </w:p>
        </w:tc>
        <w:tc>
          <w:tcPr>
            <w:tcW w:w="2568" w:type="pct"/>
            <w:vAlign w:val="center"/>
          </w:tcPr>
          <w:p w14:paraId="12048E29">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响应单位针对本项目实际提供的《行动方案》《实施意见》编制思路与技术路线，范围包括：</w:t>
            </w:r>
          </w:p>
          <w:p w14:paraId="64916566">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①编制思路；</w:t>
            </w:r>
          </w:p>
          <w:p w14:paraId="156E82BF">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②编制设计；</w:t>
            </w:r>
          </w:p>
          <w:p w14:paraId="10D1D03B">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③编制大纲；</w:t>
            </w:r>
          </w:p>
          <w:p w14:paraId="1A351B50">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上述每项应逐条叙述，内容完整，条理清晰的得3分；内容基本完整，条理较为清晰的得1分；每项叙述内容完全脱离采购需求或未作完整叙述的不得分。本项最高得9分。</w:t>
            </w:r>
          </w:p>
        </w:tc>
        <w:tc>
          <w:tcPr>
            <w:tcW w:w="873" w:type="pct"/>
            <w:vAlign w:val="center"/>
          </w:tcPr>
          <w:p w14:paraId="7702B20F">
            <w:pPr>
              <w:widowControl/>
              <w:textAlignment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根据响应方案进行评审。</w:t>
            </w:r>
          </w:p>
        </w:tc>
      </w:tr>
      <w:tr w14:paraId="1A0CF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4" w:type="pct"/>
            <w:vAlign w:val="center"/>
          </w:tcPr>
          <w:p w14:paraId="646F3DCA">
            <w:pPr>
              <w:widowControl/>
              <w:tabs>
                <w:tab w:val="left" w:pos="1200"/>
              </w:tabs>
              <w:autoSpaceDE w:val="0"/>
              <w:autoSpaceDN w:val="0"/>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697" w:type="pct"/>
            <w:vAlign w:val="center"/>
          </w:tcPr>
          <w:p w14:paraId="759ECC41">
            <w:pPr>
              <w:widowControl/>
              <w:spacing w:line="360"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编制内容</w:t>
            </w:r>
          </w:p>
        </w:tc>
        <w:tc>
          <w:tcPr>
            <w:tcW w:w="395" w:type="pct"/>
            <w:vAlign w:val="center"/>
          </w:tcPr>
          <w:p w14:paraId="27ACD2A4">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18</w:t>
            </w:r>
          </w:p>
        </w:tc>
        <w:tc>
          <w:tcPr>
            <w:tcW w:w="2568" w:type="pct"/>
            <w:vAlign w:val="center"/>
          </w:tcPr>
          <w:p w14:paraId="24DC8728">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响应单位对常州产业布局、政策导向、人工智能赋能新型工业化情况有深入认知，针对《行动计划》编制内容，范围包括：</w:t>
            </w:r>
          </w:p>
          <w:p w14:paraId="190020C3">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①主要目标；</w:t>
            </w:r>
            <w:r>
              <w:rPr>
                <w:rFonts w:ascii="宋体" w:hAnsi="宋体"/>
                <w:color w:val="auto"/>
                <w:sz w:val="24"/>
                <w:szCs w:val="24"/>
                <w:highlight w:val="none"/>
              </w:rPr>
              <w:t xml:space="preserve"> </w:t>
            </w:r>
          </w:p>
          <w:p w14:paraId="02F5F4F6">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②行业赋能；</w:t>
            </w:r>
          </w:p>
          <w:p w14:paraId="317681D8">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③环节赋能；</w:t>
            </w:r>
          </w:p>
          <w:p w14:paraId="6A01B4A4">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④保障措施。</w:t>
            </w:r>
          </w:p>
          <w:p w14:paraId="7DF70AB9">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针对《实施方案》编制内容，范围包括：</w:t>
            </w:r>
          </w:p>
          <w:p w14:paraId="70D29C4D">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①指导思想；</w:t>
            </w:r>
          </w:p>
          <w:p w14:paraId="40ECDD7E">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②基本原则；</w:t>
            </w:r>
          </w:p>
          <w:p w14:paraId="59724430">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③主要目标；</w:t>
            </w:r>
          </w:p>
          <w:p w14:paraId="3BFF2BD7">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④重点任务；</w:t>
            </w:r>
          </w:p>
          <w:p w14:paraId="7D636C85">
            <w:pPr>
              <w:widowControl/>
              <w:spacing w:line="360" w:lineRule="exact"/>
              <w:rPr>
                <w:rFonts w:ascii="宋体" w:hAnsi="宋体"/>
                <w:color w:val="auto"/>
                <w:sz w:val="24"/>
                <w:szCs w:val="24"/>
                <w:highlight w:val="none"/>
              </w:rPr>
            </w:pPr>
            <w:r>
              <w:rPr>
                <w:rFonts w:hint="eastAsia" w:asciiTheme="minorEastAsia" w:hAnsiTheme="minorEastAsia"/>
                <w:color w:val="auto"/>
                <w:sz w:val="24"/>
                <w:szCs w:val="24"/>
                <w:highlight w:val="none"/>
              </w:rPr>
              <w:t>⑤</w:t>
            </w:r>
            <w:r>
              <w:rPr>
                <w:rFonts w:hint="eastAsia" w:ascii="宋体" w:hAnsi="宋体"/>
                <w:color w:val="auto"/>
                <w:sz w:val="24"/>
                <w:szCs w:val="24"/>
                <w:highlight w:val="none"/>
              </w:rPr>
              <w:t>保障措施。</w:t>
            </w:r>
          </w:p>
          <w:p w14:paraId="4E091F29">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上述每项应逐条叙述，内容完整，条理清晰的得2分；内容基本完整，条理较为清晰的得1分；每项叙述内容完全脱离采购需求或未作完整叙述的不得分。本项最高得18分。</w:t>
            </w:r>
          </w:p>
        </w:tc>
        <w:tc>
          <w:tcPr>
            <w:tcW w:w="873" w:type="pct"/>
            <w:vAlign w:val="center"/>
          </w:tcPr>
          <w:p w14:paraId="7ABFF736">
            <w:pPr>
              <w:widowControl/>
              <w:textAlignment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根据响应方案进行评审。</w:t>
            </w:r>
          </w:p>
        </w:tc>
      </w:tr>
      <w:tr w14:paraId="12C4A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4" w:type="pct"/>
            <w:vAlign w:val="center"/>
          </w:tcPr>
          <w:p w14:paraId="13C75757">
            <w:pPr>
              <w:widowControl/>
              <w:tabs>
                <w:tab w:val="left" w:pos="1200"/>
              </w:tabs>
              <w:autoSpaceDE w:val="0"/>
              <w:autoSpaceDN w:val="0"/>
              <w:spacing w:line="360" w:lineRule="auto"/>
              <w:jc w:val="center"/>
              <w:rPr>
                <w:rFonts w:ascii="Times New Roman" w:cs="Times New Roman"/>
                <w:color w:val="auto"/>
                <w:sz w:val="24"/>
                <w:szCs w:val="24"/>
                <w:highlight w:val="none"/>
              </w:rPr>
            </w:pPr>
            <w:r>
              <w:rPr>
                <w:rFonts w:hint="eastAsia" w:ascii="宋体" w:hAnsi="宋体" w:cs="宋体"/>
                <w:color w:val="auto"/>
                <w:sz w:val="24"/>
                <w:szCs w:val="24"/>
                <w:highlight w:val="none"/>
              </w:rPr>
              <w:t>4</w:t>
            </w:r>
          </w:p>
        </w:tc>
        <w:tc>
          <w:tcPr>
            <w:tcW w:w="697" w:type="pct"/>
            <w:vAlign w:val="center"/>
          </w:tcPr>
          <w:p w14:paraId="00F52DD4">
            <w:pPr>
              <w:widowControl/>
              <w:spacing w:line="360" w:lineRule="exact"/>
              <w:jc w:val="center"/>
              <w:rPr>
                <w:rFonts w:ascii="Times New Roman" w:cs="Times New Roman"/>
                <w:color w:val="auto"/>
                <w:sz w:val="24"/>
                <w:szCs w:val="24"/>
                <w:highlight w:val="none"/>
              </w:rPr>
            </w:pPr>
            <w:r>
              <w:rPr>
                <w:rFonts w:ascii="Times New Roman" w:cs="Times New Roman"/>
                <w:color w:val="auto"/>
                <w:sz w:val="24"/>
                <w:szCs w:val="24"/>
                <w:highlight w:val="none"/>
              </w:rPr>
              <w:t>编制计划与进度安排</w:t>
            </w:r>
          </w:p>
        </w:tc>
        <w:tc>
          <w:tcPr>
            <w:tcW w:w="395" w:type="pct"/>
            <w:vAlign w:val="center"/>
          </w:tcPr>
          <w:p w14:paraId="4A3753AE">
            <w:pPr>
              <w:widowControl/>
              <w:spacing w:line="360" w:lineRule="exact"/>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2568" w:type="pct"/>
            <w:vAlign w:val="center"/>
          </w:tcPr>
          <w:p w14:paraId="1E9CBA90">
            <w:pPr>
              <w:widowControl/>
              <w:spacing w:line="360" w:lineRule="exact"/>
              <w:rPr>
                <w:rFonts w:ascii="Times New Roman" w:cs="Times New Roman"/>
                <w:color w:val="auto"/>
                <w:sz w:val="24"/>
                <w:szCs w:val="24"/>
                <w:highlight w:val="none"/>
              </w:rPr>
            </w:pPr>
            <w:r>
              <w:rPr>
                <w:rFonts w:hint="eastAsia" w:ascii="Times New Roman" w:cs="Times New Roman"/>
                <w:color w:val="auto"/>
                <w:sz w:val="24"/>
                <w:szCs w:val="24"/>
                <w:highlight w:val="none"/>
              </w:rPr>
              <w:t>响应单位针对本项目实际提供的规划计划和安排进度，范围包括：</w:t>
            </w:r>
          </w:p>
          <w:p w14:paraId="16D9F925">
            <w:pPr>
              <w:widowControl/>
              <w:spacing w:line="360" w:lineRule="exact"/>
              <w:rPr>
                <w:rFonts w:ascii="Times New Roman" w:cs="Times New Roman"/>
                <w:color w:val="auto"/>
                <w:sz w:val="24"/>
                <w:szCs w:val="24"/>
                <w:highlight w:val="none"/>
              </w:rPr>
            </w:pPr>
            <w:r>
              <w:rPr>
                <w:rFonts w:hint="eastAsia" w:ascii="Times New Roman" w:cs="Times New Roman"/>
                <w:color w:val="auto"/>
                <w:sz w:val="24"/>
                <w:szCs w:val="24"/>
                <w:highlight w:val="none"/>
              </w:rPr>
              <w:t>①项目计划；</w:t>
            </w:r>
          </w:p>
          <w:p w14:paraId="292B64E5">
            <w:pPr>
              <w:widowControl/>
              <w:spacing w:line="360" w:lineRule="exact"/>
              <w:rPr>
                <w:rFonts w:ascii="Times New Roman" w:cs="Times New Roman"/>
                <w:color w:val="auto"/>
                <w:sz w:val="24"/>
                <w:szCs w:val="24"/>
                <w:highlight w:val="none"/>
              </w:rPr>
            </w:pPr>
            <w:r>
              <w:rPr>
                <w:rFonts w:hint="eastAsia" w:ascii="Times New Roman" w:cs="Times New Roman"/>
                <w:color w:val="auto"/>
                <w:sz w:val="24"/>
                <w:szCs w:val="24"/>
                <w:highlight w:val="none"/>
              </w:rPr>
              <w:t>②调研计划；</w:t>
            </w:r>
          </w:p>
          <w:p w14:paraId="3B09E648">
            <w:pPr>
              <w:widowControl/>
              <w:spacing w:line="360" w:lineRule="exact"/>
              <w:rPr>
                <w:rFonts w:ascii="Times New Roman" w:cs="Times New Roman"/>
                <w:color w:val="auto"/>
                <w:sz w:val="24"/>
                <w:szCs w:val="24"/>
                <w:highlight w:val="none"/>
              </w:rPr>
            </w:pPr>
            <w:r>
              <w:rPr>
                <w:rFonts w:hint="eastAsia" w:ascii="Times New Roman" w:cs="Times New Roman"/>
                <w:color w:val="auto"/>
                <w:sz w:val="24"/>
                <w:szCs w:val="24"/>
                <w:highlight w:val="none"/>
              </w:rPr>
              <w:t>③进度安排；</w:t>
            </w:r>
          </w:p>
          <w:p w14:paraId="1135A0D3">
            <w:pPr>
              <w:widowControl/>
              <w:spacing w:line="360" w:lineRule="exact"/>
              <w:rPr>
                <w:rFonts w:ascii="Times New Roman" w:cs="Times New Roman"/>
                <w:color w:val="auto"/>
                <w:sz w:val="24"/>
                <w:szCs w:val="24"/>
                <w:highlight w:val="none"/>
              </w:rPr>
            </w:pPr>
            <w:r>
              <w:rPr>
                <w:rFonts w:hint="eastAsia" w:ascii="Times New Roman" w:cs="Times New Roman"/>
                <w:color w:val="auto"/>
                <w:sz w:val="24"/>
                <w:szCs w:val="24"/>
                <w:highlight w:val="none"/>
              </w:rPr>
              <w:t>④项目进度保障措施；</w:t>
            </w:r>
          </w:p>
          <w:p w14:paraId="56150294">
            <w:pPr>
              <w:widowControl/>
              <w:spacing w:line="360" w:lineRule="exact"/>
              <w:rPr>
                <w:rFonts w:ascii="Times New Roman" w:cs="Times New Roman"/>
                <w:color w:val="auto"/>
                <w:sz w:val="24"/>
                <w:szCs w:val="24"/>
                <w:highlight w:val="none"/>
              </w:rPr>
            </w:pPr>
            <w:r>
              <w:rPr>
                <w:rFonts w:hint="eastAsia" w:ascii="Times New Roman" w:cs="Times New Roman"/>
                <w:color w:val="auto"/>
                <w:sz w:val="24"/>
                <w:szCs w:val="24"/>
                <w:highlight w:val="none"/>
              </w:rPr>
              <w:t>上述每项应逐条叙述，内容完整，条理清晰的得3分；内容基本完整，条理较为清晰的得1分；每项叙述内容完全脱离采购需求或未作完整叙述的不得分。本项最高得12分。</w:t>
            </w:r>
          </w:p>
        </w:tc>
        <w:tc>
          <w:tcPr>
            <w:tcW w:w="873" w:type="pct"/>
            <w:vAlign w:val="center"/>
          </w:tcPr>
          <w:p w14:paraId="240AAA58">
            <w:pPr>
              <w:widowControl/>
              <w:textAlignment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根据响应方案进行评审。</w:t>
            </w:r>
          </w:p>
        </w:tc>
      </w:tr>
      <w:tr w14:paraId="0B7A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4" w:type="pct"/>
            <w:vAlign w:val="center"/>
          </w:tcPr>
          <w:p w14:paraId="32A73532">
            <w:pPr>
              <w:widowControl/>
              <w:tabs>
                <w:tab w:val="left" w:pos="1200"/>
              </w:tabs>
              <w:autoSpaceDE w:val="0"/>
              <w:autoSpaceDN w:val="0"/>
              <w:spacing w:line="360" w:lineRule="auto"/>
              <w:jc w:val="center"/>
              <w:rPr>
                <w:rFonts w:ascii="Times New Roman" w:hAnsi="Times New Roman" w:eastAsia="宋体" w:cs="Times New Roman"/>
                <w:color w:val="auto"/>
                <w:kern w:val="0"/>
                <w:sz w:val="24"/>
                <w:szCs w:val="24"/>
                <w:highlight w:val="none"/>
              </w:rPr>
            </w:pPr>
            <w:r>
              <w:rPr>
                <w:rFonts w:hint="eastAsia" w:ascii="宋体" w:hAnsi="宋体" w:eastAsia="宋体" w:cs="宋体"/>
                <w:color w:val="auto"/>
                <w:sz w:val="24"/>
                <w:szCs w:val="24"/>
                <w:highlight w:val="none"/>
              </w:rPr>
              <w:t>5</w:t>
            </w:r>
          </w:p>
        </w:tc>
        <w:tc>
          <w:tcPr>
            <w:tcW w:w="697" w:type="pct"/>
            <w:vAlign w:val="center"/>
          </w:tcPr>
          <w:p w14:paraId="40095F9A">
            <w:pPr>
              <w:widowControl/>
              <w:spacing w:line="360" w:lineRule="exact"/>
              <w:jc w:val="center"/>
              <w:rPr>
                <w:rStyle w:val="64"/>
                <w:rFonts w:hint="default" w:ascii="Times New Roman" w:hAnsi="Times New Roman" w:cs="Times New Roman"/>
                <w:color w:val="auto"/>
                <w:sz w:val="24"/>
                <w:szCs w:val="24"/>
                <w:highlight w:val="none"/>
              </w:rPr>
            </w:pPr>
            <w:r>
              <w:rPr>
                <w:rStyle w:val="64"/>
                <w:rFonts w:hint="default" w:ascii="Times New Roman" w:hAnsi="Times New Roman" w:cs="Times New Roman"/>
                <w:color w:val="auto"/>
                <w:sz w:val="24"/>
                <w:szCs w:val="24"/>
                <w:highlight w:val="none"/>
              </w:rPr>
              <w:t>保障机制方案</w:t>
            </w:r>
          </w:p>
        </w:tc>
        <w:tc>
          <w:tcPr>
            <w:tcW w:w="395" w:type="pct"/>
            <w:vAlign w:val="center"/>
          </w:tcPr>
          <w:p w14:paraId="0612F33D">
            <w:pPr>
              <w:widowControl/>
              <w:spacing w:line="360" w:lineRule="exact"/>
              <w:jc w:val="center"/>
              <w:rPr>
                <w:rFonts w:ascii="Times New Roman" w:hAnsi="Times New Roman" w:eastAsia="宋体" w:cs="Times New Roman"/>
                <w:color w:val="auto"/>
                <w:sz w:val="24"/>
                <w:szCs w:val="24"/>
                <w:highlight w:val="none"/>
              </w:rPr>
            </w:pPr>
            <w:r>
              <w:rPr>
                <w:rFonts w:hint="eastAsia" w:ascii="宋体" w:hAnsi="宋体" w:eastAsia="宋体" w:cs="宋体"/>
                <w:color w:val="auto"/>
                <w:sz w:val="24"/>
                <w:szCs w:val="24"/>
                <w:highlight w:val="none"/>
              </w:rPr>
              <w:t>8</w:t>
            </w:r>
          </w:p>
        </w:tc>
        <w:tc>
          <w:tcPr>
            <w:tcW w:w="2568" w:type="pct"/>
            <w:vAlign w:val="center"/>
          </w:tcPr>
          <w:p w14:paraId="5685B1F6">
            <w:pPr>
              <w:widowControl/>
              <w:spacing w:line="36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响应单位针对本项目实际提供的保障机制方案，范围包括：</w:t>
            </w:r>
          </w:p>
          <w:p w14:paraId="76A9BB02">
            <w:pPr>
              <w:widowControl/>
              <w:spacing w:line="36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①质量保障方案；</w:t>
            </w:r>
          </w:p>
          <w:p w14:paraId="2D39FA6B">
            <w:pPr>
              <w:widowControl/>
              <w:spacing w:line="36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②人员配备方案；</w:t>
            </w:r>
          </w:p>
          <w:p w14:paraId="14B9BABC">
            <w:pPr>
              <w:widowControl/>
              <w:spacing w:line="36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③服务承诺方案；</w:t>
            </w:r>
          </w:p>
          <w:p w14:paraId="7B7C1284">
            <w:pPr>
              <w:widowControl/>
              <w:spacing w:line="36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④安全保密方案；</w:t>
            </w:r>
          </w:p>
          <w:p w14:paraId="1A7D2613">
            <w:pPr>
              <w:widowControl/>
              <w:spacing w:line="360" w:lineRule="exact"/>
              <w:rPr>
                <w:rFonts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上述每项应逐条叙述，内容完整，条理清晰的得2分；内容基本完整，条理较为清晰的得1分；每项叙述内容完全脱离采购需求或未作完整叙述的不得分。本项最高得8分。</w:t>
            </w:r>
          </w:p>
        </w:tc>
        <w:tc>
          <w:tcPr>
            <w:tcW w:w="873" w:type="pct"/>
            <w:vAlign w:val="center"/>
          </w:tcPr>
          <w:p w14:paraId="23B12834">
            <w:pPr>
              <w:widowControl/>
              <w:textAlignment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根据响应方案进行评审。</w:t>
            </w:r>
          </w:p>
        </w:tc>
      </w:tr>
      <w:tr w14:paraId="5C6BA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64" w:type="pct"/>
            <w:vAlign w:val="center"/>
          </w:tcPr>
          <w:p w14:paraId="283B527B">
            <w:pPr>
              <w:widowControl/>
              <w:tabs>
                <w:tab w:val="left" w:pos="1200"/>
              </w:tabs>
              <w:autoSpaceDE w:val="0"/>
              <w:autoSpaceDN w:val="0"/>
              <w:spacing w:line="360" w:lineRule="auto"/>
              <w:jc w:val="center"/>
              <w:rPr>
                <w:rFonts w:ascii="Times New Roman" w:hAnsi="Times New Roman" w:eastAsia="宋体" w:cs="Times New Roman"/>
                <w:color w:val="auto"/>
                <w:kern w:val="0"/>
                <w:sz w:val="24"/>
                <w:szCs w:val="24"/>
                <w:highlight w:val="none"/>
              </w:rPr>
            </w:pPr>
            <w:r>
              <w:rPr>
                <w:rFonts w:hint="eastAsia" w:ascii="宋体" w:hAnsi="宋体" w:eastAsia="宋体" w:cs="宋体"/>
                <w:color w:val="auto"/>
                <w:sz w:val="24"/>
                <w:szCs w:val="24"/>
                <w:highlight w:val="none"/>
              </w:rPr>
              <w:t>6</w:t>
            </w:r>
          </w:p>
        </w:tc>
        <w:tc>
          <w:tcPr>
            <w:tcW w:w="697" w:type="pct"/>
            <w:vAlign w:val="center"/>
          </w:tcPr>
          <w:p w14:paraId="6909AEE4">
            <w:pPr>
              <w:widowControl/>
              <w:spacing w:line="360" w:lineRule="exact"/>
              <w:jc w:val="center"/>
              <w:rPr>
                <w:rStyle w:val="64"/>
                <w:rFonts w:hint="default" w:ascii="Times New Roman" w:hAnsi="Times New Roman" w:cs="Times New Roman"/>
                <w:color w:val="auto"/>
                <w:sz w:val="24"/>
                <w:szCs w:val="24"/>
                <w:highlight w:val="none"/>
              </w:rPr>
            </w:pPr>
            <w:r>
              <w:rPr>
                <w:rStyle w:val="64"/>
                <w:rFonts w:hint="default" w:ascii="Times New Roman" w:hAnsi="Times New Roman" w:cs="Times New Roman"/>
                <w:color w:val="auto"/>
                <w:sz w:val="24"/>
                <w:szCs w:val="24"/>
                <w:highlight w:val="none"/>
              </w:rPr>
              <w:t>成果交付方案</w:t>
            </w:r>
          </w:p>
        </w:tc>
        <w:tc>
          <w:tcPr>
            <w:tcW w:w="395" w:type="pct"/>
            <w:vAlign w:val="center"/>
          </w:tcPr>
          <w:p w14:paraId="554CE6DF">
            <w:pPr>
              <w:widowControl/>
              <w:spacing w:line="360" w:lineRule="exact"/>
              <w:jc w:val="center"/>
              <w:rPr>
                <w:rFonts w:ascii="Times New Roman" w:hAnsi="Times New Roman" w:eastAsia="宋体" w:cs="Times New Roman"/>
                <w:color w:val="auto"/>
                <w:sz w:val="24"/>
                <w:szCs w:val="24"/>
                <w:highlight w:val="none"/>
              </w:rPr>
            </w:pPr>
            <w:r>
              <w:rPr>
                <w:rFonts w:hint="eastAsia" w:ascii="宋体" w:hAnsi="宋体" w:eastAsia="宋体" w:cs="宋体"/>
                <w:bCs/>
                <w:color w:val="auto"/>
                <w:sz w:val="24"/>
                <w:szCs w:val="24"/>
                <w:highlight w:val="none"/>
              </w:rPr>
              <w:t>4</w:t>
            </w:r>
          </w:p>
        </w:tc>
        <w:tc>
          <w:tcPr>
            <w:tcW w:w="2568" w:type="pct"/>
            <w:vAlign w:val="center"/>
          </w:tcPr>
          <w:p w14:paraId="48EE8E5A">
            <w:pPr>
              <w:widowControl/>
              <w:spacing w:line="3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响应单位针对本项目实际提供的成果交付方案，范围包括：</w:t>
            </w:r>
          </w:p>
          <w:p w14:paraId="63BC82BC">
            <w:pPr>
              <w:widowControl/>
              <w:spacing w:line="3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①成果交付质量保证措施；</w:t>
            </w:r>
          </w:p>
          <w:p w14:paraId="004EE277">
            <w:pPr>
              <w:widowControl/>
              <w:spacing w:line="3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②成果验收方案；</w:t>
            </w:r>
          </w:p>
          <w:p w14:paraId="39518481">
            <w:pPr>
              <w:widowControl/>
              <w:spacing w:line="3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上述每项应逐条叙述，内容完整，条理清晰的得2分；内容基本完整，条理较为清晰的得1分；每项叙述内容完全脱离采购需求或未作完整叙述的不得分。本项最高得4分。</w:t>
            </w:r>
          </w:p>
        </w:tc>
        <w:tc>
          <w:tcPr>
            <w:tcW w:w="873" w:type="pct"/>
            <w:vAlign w:val="center"/>
          </w:tcPr>
          <w:p w14:paraId="5569080D">
            <w:pPr>
              <w:widowControl/>
              <w:textAlignment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根据响应方案进行评审。</w:t>
            </w:r>
          </w:p>
        </w:tc>
      </w:tr>
      <w:tr w14:paraId="60170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5000" w:type="pct"/>
            <w:gridSpan w:val="5"/>
            <w:vAlign w:val="center"/>
          </w:tcPr>
          <w:p w14:paraId="0A228B3E">
            <w:pPr>
              <w:widowControl/>
              <w:jc w:val="left"/>
              <w:textAlignment w:val="center"/>
              <w:rPr>
                <w:rStyle w:val="64"/>
                <w:rFonts w:hint="default" w:ascii="Times New Roman" w:hAnsi="Times New Roman" w:cs="Times New Roman"/>
                <w:color w:val="auto"/>
                <w:sz w:val="24"/>
                <w:szCs w:val="24"/>
                <w:highlight w:val="none"/>
              </w:rPr>
            </w:pPr>
            <w:r>
              <w:rPr>
                <w:rStyle w:val="64"/>
                <w:rFonts w:hint="default" w:ascii="Times New Roman" w:hAnsi="Times New Roman" w:cs="Times New Roman"/>
                <w:color w:val="auto"/>
                <w:sz w:val="24"/>
                <w:szCs w:val="24"/>
                <w:highlight w:val="none"/>
              </w:rPr>
              <w:t>三、商务分（</w:t>
            </w:r>
            <w:r>
              <w:rPr>
                <w:rStyle w:val="64"/>
                <w:rFonts w:ascii="Times New Roman" w:hAnsi="Times New Roman" w:cs="Times New Roman"/>
                <w:color w:val="auto"/>
                <w:sz w:val="24"/>
                <w:szCs w:val="24"/>
                <w:highlight w:val="none"/>
              </w:rPr>
              <w:t>33</w:t>
            </w:r>
            <w:r>
              <w:rPr>
                <w:rStyle w:val="64"/>
                <w:rFonts w:hint="default" w:ascii="Times New Roman" w:hAnsi="Times New Roman" w:cs="Times New Roman"/>
                <w:color w:val="auto"/>
                <w:sz w:val="24"/>
                <w:szCs w:val="24"/>
                <w:highlight w:val="none"/>
              </w:rPr>
              <w:t>分）</w:t>
            </w:r>
          </w:p>
        </w:tc>
      </w:tr>
      <w:tr w14:paraId="11419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2" w:hRule="atLeast"/>
        </w:trPr>
        <w:tc>
          <w:tcPr>
            <w:tcW w:w="464" w:type="pct"/>
            <w:vAlign w:val="center"/>
          </w:tcPr>
          <w:p w14:paraId="57EA35D2">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1</w:t>
            </w:r>
          </w:p>
        </w:tc>
        <w:tc>
          <w:tcPr>
            <w:tcW w:w="697" w:type="pct"/>
            <w:vAlign w:val="center"/>
          </w:tcPr>
          <w:p w14:paraId="1B1846E9">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类似业绩</w:t>
            </w:r>
          </w:p>
        </w:tc>
        <w:tc>
          <w:tcPr>
            <w:tcW w:w="395" w:type="pct"/>
            <w:vAlign w:val="center"/>
          </w:tcPr>
          <w:p w14:paraId="498A1880">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5</w:t>
            </w:r>
          </w:p>
        </w:tc>
        <w:tc>
          <w:tcPr>
            <w:tcW w:w="2568" w:type="pct"/>
            <w:vAlign w:val="center"/>
          </w:tcPr>
          <w:p w14:paraId="132FBF6A">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供应商自2020年1月1日至今，提供同类项目的合同业绩，包括但不限于产业研究、新型工业化、人工智能等领域，每提供一份得1分，最高5分。注：以合同签订时间为准，供应商未按要求提供或未经磋商小组认可得业绩不得分。</w:t>
            </w:r>
          </w:p>
        </w:tc>
        <w:tc>
          <w:tcPr>
            <w:tcW w:w="873" w:type="pct"/>
            <w:vAlign w:val="center"/>
          </w:tcPr>
          <w:p w14:paraId="28DFCAD2">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提供业绩的合同扫描件</w:t>
            </w:r>
            <w:r>
              <w:rPr>
                <w:rFonts w:ascii="宋体" w:hAnsi="宋体"/>
                <w:color w:val="auto"/>
                <w:sz w:val="24"/>
                <w:szCs w:val="24"/>
                <w:highlight w:val="none"/>
              </w:rPr>
              <w:t>加盖供应商公章，否则不得分。</w:t>
            </w:r>
          </w:p>
        </w:tc>
      </w:tr>
      <w:tr w14:paraId="07D17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4" w:type="pct"/>
            <w:vAlign w:val="center"/>
          </w:tcPr>
          <w:p w14:paraId="13D760A2">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2</w:t>
            </w:r>
          </w:p>
        </w:tc>
        <w:tc>
          <w:tcPr>
            <w:tcW w:w="697" w:type="pct"/>
            <w:vAlign w:val="center"/>
          </w:tcPr>
          <w:p w14:paraId="16FDD9AD">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组织能力</w:t>
            </w:r>
          </w:p>
        </w:tc>
        <w:tc>
          <w:tcPr>
            <w:tcW w:w="395" w:type="pct"/>
            <w:vAlign w:val="center"/>
          </w:tcPr>
          <w:p w14:paraId="3A848F19">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2568" w:type="pct"/>
            <w:vAlign w:val="center"/>
          </w:tcPr>
          <w:p w14:paraId="078D2855">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供应商具有行动方案、实施意见编制方面的组织能力，如组织承办过智能制造、人工智能等领域的专家咨询会、研讨会等；每提供一种类别得2分；最高得4分。</w:t>
            </w:r>
          </w:p>
        </w:tc>
        <w:tc>
          <w:tcPr>
            <w:tcW w:w="873" w:type="pct"/>
            <w:vAlign w:val="center"/>
          </w:tcPr>
          <w:p w14:paraId="6986152D">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提供证明材料扫描件并加盖供应商公章，未按要求提供或提供不全不得分。</w:t>
            </w:r>
          </w:p>
        </w:tc>
      </w:tr>
      <w:tr w14:paraId="6B8BB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64" w:type="pct"/>
            <w:vAlign w:val="center"/>
          </w:tcPr>
          <w:p w14:paraId="6A37AB48">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3</w:t>
            </w:r>
          </w:p>
        </w:tc>
        <w:tc>
          <w:tcPr>
            <w:tcW w:w="697" w:type="pct"/>
            <w:vAlign w:val="center"/>
          </w:tcPr>
          <w:p w14:paraId="7B9D31FB">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 xml:space="preserve">体系认证 </w:t>
            </w:r>
          </w:p>
        </w:tc>
        <w:tc>
          <w:tcPr>
            <w:tcW w:w="395" w:type="pct"/>
            <w:vAlign w:val="center"/>
          </w:tcPr>
          <w:p w14:paraId="1917F4D6">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6</w:t>
            </w:r>
          </w:p>
        </w:tc>
        <w:tc>
          <w:tcPr>
            <w:tcW w:w="2568" w:type="pct"/>
            <w:vAlign w:val="center"/>
          </w:tcPr>
          <w:p w14:paraId="1BB1F24E">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供应商具有效的有质量管理体系认证证书、环境管理体系认证证书、职业健康安全管理体系认证证书，每提供一份得2分；最高得6分。</w:t>
            </w:r>
          </w:p>
          <w:p w14:paraId="254CF75A">
            <w:pPr>
              <w:widowControl/>
              <w:spacing w:line="360" w:lineRule="exact"/>
              <w:rPr>
                <w:rFonts w:ascii="宋体" w:hAnsi="宋体"/>
                <w:color w:val="auto"/>
                <w:sz w:val="24"/>
                <w:szCs w:val="24"/>
                <w:highlight w:val="none"/>
              </w:rPr>
            </w:pPr>
          </w:p>
        </w:tc>
        <w:tc>
          <w:tcPr>
            <w:tcW w:w="873" w:type="pct"/>
            <w:vAlign w:val="center"/>
          </w:tcPr>
          <w:p w14:paraId="1E38EFDD">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提供有效证书扫描件并加盖供应商公章，磋商小组在评审过程中有权在国家认证认可监督管理委员会官网查询供应商提供的证书有效性。</w:t>
            </w:r>
          </w:p>
          <w:p w14:paraId="693D6547">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未按要求提供或查询无效不得分。</w:t>
            </w:r>
          </w:p>
        </w:tc>
      </w:tr>
      <w:tr w14:paraId="46FAB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trPr>
        <w:tc>
          <w:tcPr>
            <w:tcW w:w="464" w:type="pct"/>
            <w:vAlign w:val="center"/>
          </w:tcPr>
          <w:p w14:paraId="29C8F772">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697" w:type="pct"/>
            <w:vAlign w:val="center"/>
          </w:tcPr>
          <w:p w14:paraId="02DA71CA">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项目负责人</w:t>
            </w:r>
          </w:p>
        </w:tc>
        <w:tc>
          <w:tcPr>
            <w:tcW w:w="395" w:type="pct"/>
            <w:vAlign w:val="center"/>
          </w:tcPr>
          <w:p w14:paraId="2C6FDFEC">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4</w:t>
            </w:r>
          </w:p>
        </w:tc>
        <w:tc>
          <w:tcPr>
            <w:tcW w:w="2568" w:type="pct"/>
            <w:vAlign w:val="center"/>
          </w:tcPr>
          <w:p w14:paraId="6DFE6C5C">
            <w:pPr>
              <w:widowControl/>
              <w:spacing w:line="360" w:lineRule="exact"/>
              <w:rPr>
                <w:rFonts w:ascii="宋体" w:hAnsi="宋体"/>
                <w:color w:val="auto"/>
                <w:sz w:val="24"/>
                <w:szCs w:val="24"/>
                <w:highlight w:val="none"/>
              </w:rPr>
            </w:pPr>
            <w:r>
              <w:rPr>
                <w:rFonts w:hint="eastAsia" w:ascii="Times New Roman" w:hAnsi="Times New Roman" w:eastAsia="仿宋_GB2312"/>
                <w:color w:val="auto"/>
                <w:sz w:val="24"/>
                <w:szCs w:val="24"/>
                <w:highlight w:val="none"/>
              </w:rPr>
              <w:t>1</w:t>
            </w:r>
            <w:r>
              <w:rPr>
                <w:rFonts w:hint="eastAsia" w:ascii="宋体" w:hAnsi="宋体"/>
                <w:color w:val="auto"/>
                <w:sz w:val="24"/>
                <w:szCs w:val="24"/>
                <w:highlight w:val="none"/>
              </w:rPr>
              <w:t>.</w:t>
            </w:r>
            <w:r>
              <w:rPr>
                <w:rFonts w:ascii="宋体" w:hAnsi="宋体"/>
                <w:color w:val="auto"/>
                <w:sz w:val="24"/>
                <w:szCs w:val="24"/>
                <w:highlight w:val="none"/>
              </w:rPr>
              <w:t>具有博士研究生学历得2分，硕士研究生学历得1分；</w:t>
            </w:r>
          </w:p>
          <w:p w14:paraId="776FE849">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具有与本项目相关的</w:t>
            </w:r>
            <w:r>
              <w:rPr>
                <w:rFonts w:hint="eastAsia" w:ascii="宋体" w:hAnsi="宋体"/>
                <w:color w:val="auto"/>
                <w:sz w:val="24"/>
                <w:szCs w:val="24"/>
                <w:highlight w:val="none"/>
              </w:rPr>
              <w:t>高</w:t>
            </w:r>
            <w:r>
              <w:rPr>
                <w:rFonts w:ascii="宋体" w:hAnsi="宋体"/>
                <w:color w:val="auto"/>
                <w:sz w:val="24"/>
                <w:szCs w:val="24"/>
                <w:highlight w:val="none"/>
              </w:rPr>
              <w:t>级及以上职称证书的得2分，具有与本项目相关的中级职称证书的得1分。</w:t>
            </w:r>
          </w:p>
          <w:p w14:paraId="68E7191F">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最高得4分。</w:t>
            </w:r>
          </w:p>
          <w:p w14:paraId="3C01E7D6">
            <w:pPr>
              <w:widowControl/>
              <w:spacing w:line="360" w:lineRule="exact"/>
              <w:rPr>
                <w:rFonts w:ascii="宋体" w:hAnsi="宋体"/>
                <w:color w:val="auto"/>
                <w:sz w:val="24"/>
                <w:szCs w:val="24"/>
                <w:highlight w:val="none"/>
              </w:rPr>
            </w:pPr>
          </w:p>
        </w:tc>
        <w:tc>
          <w:tcPr>
            <w:tcW w:w="873" w:type="pct"/>
            <w:vAlign w:val="center"/>
          </w:tcPr>
          <w:p w14:paraId="7754F94D">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提供人员有效证书扫描件并加盖响应单位公章，同时提供近三个月内任意一个月响应单位为其缴纳的社保证明，未按要求提供或提供不全不得分。</w:t>
            </w:r>
          </w:p>
        </w:tc>
      </w:tr>
      <w:tr w14:paraId="4C595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3" w:hRule="atLeast"/>
        </w:trPr>
        <w:tc>
          <w:tcPr>
            <w:tcW w:w="464" w:type="pct"/>
            <w:vAlign w:val="center"/>
          </w:tcPr>
          <w:p w14:paraId="4867CA78">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5</w:t>
            </w:r>
          </w:p>
        </w:tc>
        <w:tc>
          <w:tcPr>
            <w:tcW w:w="697" w:type="pct"/>
            <w:vAlign w:val="center"/>
          </w:tcPr>
          <w:p w14:paraId="3A91B17F">
            <w:pPr>
              <w:widowControl/>
              <w:spacing w:line="360" w:lineRule="exact"/>
              <w:rPr>
                <w:rFonts w:ascii="宋体" w:hAnsi="宋体"/>
                <w:color w:val="auto"/>
                <w:sz w:val="24"/>
                <w:szCs w:val="24"/>
                <w:highlight w:val="none"/>
              </w:rPr>
            </w:pPr>
            <w:bookmarkStart w:id="526" w:name="_GoBack"/>
            <w:r>
              <w:rPr>
                <w:rFonts w:hint="eastAsia" w:ascii="宋体" w:hAnsi="宋体"/>
                <w:color w:val="auto"/>
                <w:sz w:val="24"/>
                <w:szCs w:val="24"/>
                <w:highlight w:val="none"/>
              </w:rPr>
              <w:t>项目组成员（除项目负责人外）</w:t>
            </w:r>
            <w:bookmarkEnd w:id="526"/>
          </w:p>
        </w:tc>
        <w:tc>
          <w:tcPr>
            <w:tcW w:w="395" w:type="pct"/>
            <w:vAlign w:val="center"/>
          </w:tcPr>
          <w:p w14:paraId="3DFA726D">
            <w:pPr>
              <w:widowControl/>
              <w:spacing w:line="360" w:lineRule="exact"/>
              <w:jc w:val="center"/>
              <w:rPr>
                <w:rFonts w:ascii="宋体" w:hAnsi="宋体"/>
                <w:color w:val="auto"/>
                <w:sz w:val="24"/>
                <w:szCs w:val="24"/>
                <w:highlight w:val="none"/>
              </w:rPr>
            </w:pPr>
            <w:r>
              <w:rPr>
                <w:rFonts w:hint="eastAsia" w:ascii="宋体" w:hAnsi="宋体"/>
                <w:color w:val="auto"/>
                <w:sz w:val="24"/>
                <w:szCs w:val="24"/>
                <w:highlight w:val="none"/>
              </w:rPr>
              <w:t>14</w:t>
            </w:r>
          </w:p>
        </w:tc>
        <w:tc>
          <w:tcPr>
            <w:tcW w:w="2568" w:type="pct"/>
            <w:vAlign w:val="center"/>
          </w:tcPr>
          <w:p w14:paraId="50611034">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具有硕士研究生</w:t>
            </w:r>
            <w:r>
              <w:rPr>
                <w:rFonts w:hint="eastAsia" w:ascii="宋体" w:hAnsi="宋体"/>
                <w:color w:val="auto"/>
                <w:sz w:val="24"/>
                <w:szCs w:val="24"/>
                <w:highlight w:val="none"/>
              </w:rPr>
              <w:t>及以上</w:t>
            </w:r>
            <w:r>
              <w:rPr>
                <w:rFonts w:ascii="宋体" w:hAnsi="宋体"/>
                <w:color w:val="auto"/>
                <w:sz w:val="24"/>
                <w:szCs w:val="24"/>
                <w:highlight w:val="none"/>
              </w:rPr>
              <w:t>学历得</w:t>
            </w:r>
            <w:r>
              <w:rPr>
                <w:rFonts w:hint="eastAsia" w:ascii="宋体" w:hAnsi="宋体"/>
                <w:color w:val="auto"/>
                <w:sz w:val="24"/>
                <w:szCs w:val="24"/>
                <w:highlight w:val="none"/>
              </w:rPr>
              <w:t>1</w:t>
            </w:r>
            <w:r>
              <w:rPr>
                <w:rFonts w:ascii="宋体" w:hAnsi="宋体"/>
                <w:color w:val="auto"/>
                <w:sz w:val="24"/>
                <w:szCs w:val="24"/>
                <w:highlight w:val="none"/>
              </w:rPr>
              <w:t>分；最高</w:t>
            </w:r>
            <w:r>
              <w:rPr>
                <w:rFonts w:hint="eastAsia" w:ascii="宋体" w:hAnsi="宋体"/>
                <w:color w:val="auto"/>
                <w:sz w:val="24"/>
                <w:szCs w:val="24"/>
                <w:highlight w:val="none"/>
              </w:rPr>
              <w:t>6</w:t>
            </w:r>
            <w:r>
              <w:rPr>
                <w:rFonts w:ascii="宋体" w:hAnsi="宋体"/>
                <w:color w:val="auto"/>
                <w:sz w:val="24"/>
                <w:szCs w:val="24"/>
                <w:highlight w:val="none"/>
              </w:rPr>
              <w:t>分。</w:t>
            </w:r>
          </w:p>
          <w:p w14:paraId="45B1262E">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具有与本项目相关的中级及以上职称证书的得</w:t>
            </w:r>
            <w:r>
              <w:rPr>
                <w:rFonts w:hint="eastAsia" w:ascii="宋体" w:hAnsi="宋体"/>
                <w:color w:val="auto"/>
                <w:sz w:val="24"/>
                <w:szCs w:val="24"/>
                <w:highlight w:val="none"/>
              </w:rPr>
              <w:t>1</w:t>
            </w:r>
            <w:r>
              <w:rPr>
                <w:rFonts w:ascii="宋体" w:hAnsi="宋体"/>
                <w:color w:val="auto"/>
                <w:sz w:val="24"/>
                <w:szCs w:val="24"/>
                <w:highlight w:val="none"/>
              </w:rPr>
              <w:t>分；最高</w:t>
            </w:r>
            <w:r>
              <w:rPr>
                <w:rFonts w:hint="eastAsia" w:ascii="宋体" w:hAnsi="宋体"/>
                <w:color w:val="auto"/>
                <w:sz w:val="24"/>
                <w:szCs w:val="24"/>
                <w:highlight w:val="none"/>
              </w:rPr>
              <w:t>6</w:t>
            </w:r>
            <w:r>
              <w:rPr>
                <w:rFonts w:ascii="宋体" w:hAnsi="宋体"/>
                <w:color w:val="auto"/>
                <w:sz w:val="24"/>
                <w:szCs w:val="24"/>
                <w:highlight w:val="none"/>
              </w:rPr>
              <w:t>分。</w:t>
            </w:r>
          </w:p>
          <w:p w14:paraId="7CD74E4C">
            <w:pPr>
              <w:widowControl/>
              <w:spacing w:line="360" w:lineRule="exact"/>
              <w:rPr>
                <w:rFonts w:ascii="宋体" w:hAnsi="宋体"/>
                <w:b/>
                <w:bCs/>
                <w:color w:val="auto"/>
                <w:sz w:val="24"/>
                <w:szCs w:val="24"/>
                <w:highlight w:val="none"/>
              </w:rPr>
            </w:pPr>
            <w:r>
              <w:rPr>
                <w:rFonts w:hint="eastAsia" w:ascii="宋体" w:hAnsi="宋体"/>
                <w:b/>
                <w:bCs/>
                <w:color w:val="auto"/>
                <w:sz w:val="24"/>
                <w:szCs w:val="24"/>
                <w:highlight w:val="none"/>
              </w:rPr>
              <w:t>注：项目组成员如存在一人多证情形不重复计分。</w:t>
            </w:r>
          </w:p>
          <w:p w14:paraId="236A8A50">
            <w:pPr>
              <w:widowControl/>
              <w:numPr>
                <w:ilvl w:val="0"/>
                <w:numId w:val="4"/>
              </w:numPr>
              <w:spacing w:line="360" w:lineRule="exact"/>
              <w:rPr>
                <w:rFonts w:ascii="宋体" w:hAnsi="宋体"/>
                <w:color w:val="auto"/>
                <w:sz w:val="24"/>
                <w:szCs w:val="24"/>
                <w:highlight w:val="none"/>
              </w:rPr>
            </w:pPr>
            <w:r>
              <w:rPr>
                <w:rFonts w:ascii="宋体" w:hAnsi="宋体"/>
                <w:color w:val="auto"/>
                <w:sz w:val="24"/>
                <w:szCs w:val="24"/>
                <w:highlight w:val="none"/>
              </w:rPr>
              <w:t>项目组成员参与过</w:t>
            </w:r>
            <w:r>
              <w:rPr>
                <w:rFonts w:hint="eastAsia" w:ascii="宋体" w:hAnsi="宋体"/>
                <w:color w:val="auto"/>
                <w:sz w:val="24"/>
                <w:szCs w:val="24"/>
                <w:highlight w:val="none"/>
              </w:rPr>
              <w:t>人工智能赋能新型工业化</w:t>
            </w:r>
            <w:r>
              <w:rPr>
                <w:rFonts w:ascii="宋体" w:hAnsi="宋体"/>
                <w:color w:val="auto"/>
                <w:sz w:val="24"/>
                <w:szCs w:val="24"/>
                <w:highlight w:val="none"/>
              </w:rPr>
              <w:t>相关领域发展规划研究等与本项目相关的项目的，每提供一份得</w:t>
            </w:r>
            <w:r>
              <w:rPr>
                <w:rFonts w:hint="eastAsia" w:ascii="宋体" w:hAnsi="宋体"/>
                <w:color w:val="auto"/>
                <w:sz w:val="24"/>
                <w:szCs w:val="24"/>
                <w:highlight w:val="none"/>
              </w:rPr>
              <w:t>1</w:t>
            </w:r>
            <w:r>
              <w:rPr>
                <w:rFonts w:ascii="宋体" w:hAnsi="宋体"/>
                <w:color w:val="auto"/>
                <w:sz w:val="24"/>
                <w:szCs w:val="24"/>
                <w:highlight w:val="none"/>
              </w:rPr>
              <w:t>分；最高得</w:t>
            </w:r>
            <w:r>
              <w:rPr>
                <w:rFonts w:hint="eastAsia" w:ascii="宋体" w:hAnsi="宋体"/>
                <w:color w:val="auto"/>
                <w:sz w:val="24"/>
                <w:szCs w:val="24"/>
                <w:highlight w:val="none"/>
              </w:rPr>
              <w:t>2</w:t>
            </w:r>
            <w:r>
              <w:rPr>
                <w:rFonts w:ascii="宋体" w:hAnsi="宋体"/>
                <w:color w:val="auto"/>
                <w:sz w:val="24"/>
                <w:szCs w:val="24"/>
                <w:highlight w:val="none"/>
              </w:rPr>
              <w:t>分。</w:t>
            </w:r>
          </w:p>
          <w:p w14:paraId="183C5BF0">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最高得14分。</w:t>
            </w:r>
          </w:p>
          <w:p w14:paraId="175800BD">
            <w:pPr>
              <w:widowControl/>
              <w:spacing w:line="360" w:lineRule="exact"/>
              <w:rPr>
                <w:rFonts w:ascii="宋体" w:hAnsi="宋体"/>
                <w:color w:val="auto"/>
                <w:sz w:val="24"/>
                <w:szCs w:val="24"/>
                <w:highlight w:val="none"/>
              </w:rPr>
            </w:pPr>
          </w:p>
          <w:p w14:paraId="49290D09">
            <w:pPr>
              <w:widowControl/>
              <w:spacing w:line="360" w:lineRule="exact"/>
              <w:rPr>
                <w:rFonts w:ascii="宋体" w:hAnsi="宋体"/>
                <w:color w:val="auto"/>
                <w:sz w:val="24"/>
                <w:szCs w:val="24"/>
                <w:highlight w:val="none"/>
              </w:rPr>
            </w:pPr>
          </w:p>
          <w:p w14:paraId="5915C48D">
            <w:pPr>
              <w:widowControl/>
              <w:spacing w:line="360" w:lineRule="exact"/>
              <w:rPr>
                <w:rFonts w:ascii="宋体" w:hAnsi="宋体"/>
                <w:color w:val="auto"/>
                <w:sz w:val="24"/>
                <w:szCs w:val="24"/>
                <w:highlight w:val="none"/>
              </w:rPr>
            </w:pPr>
          </w:p>
        </w:tc>
        <w:tc>
          <w:tcPr>
            <w:tcW w:w="873" w:type="pct"/>
            <w:vAlign w:val="center"/>
          </w:tcPr>
          <w:p w14:paraId="5705510F">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第1、2项</w:t>
            </w:r>
            <w:r>
              <w:rPr>
                <w:rFonts w:ascii="宋体" w:hAnsi="宋体"/>
                <w:color w:val="auto"/>
                <w:sz w:val="24"/>
                <w:szCs w:val="24"/>
                <w:highlight w:val="none"/>
              </w:rPr>
              <w:t>提供人员有效证书扫描件并加盖响应单位公章</w:t>
            </w:r>
            <w:r>
              <w:rPr>
                <w:rFonts w:hint="eastAsia" w:ascii="宋体" w:hAnsi="宋体"/>
                <w:color w:val="auto"/>
                <w:sz w:val="24"/>
                <w:szCs w:val="24"/>
                <w:highlight w:val="none"/>
              </w:rPr>
              <w:t>；第3项提供相关证明材料扫描件并加盖响应单位公章。</w:t>
            </w:r>
          </w:p>
          <w:p w14:paraId="7DA2D152">
            <w:pPr>
              <w:widowControl/>
              <w:spacing w:line="360" w:lineRule="exact"/>
              <w:rPr>
                <w:rFonts w:ascii="宋体" w:hAnsi="宋体"/>
                <w:color w:val="auto"/>
                <w:sz w:val="24"/>
                <w:szCs w:val="24"/>
                <w:highlight w:val="none"/>
              </w:rPr>
            </w:pPr>
            <w:r>
              <w:rPr>
                <w:rFonts w:hint="eastAsia" w:ascii="宋体" w:hAnsi="宋体"/>
                <w:color w:val="auto"/>
                <w:sz w:val="24"/>
                <w:szCs w:val="24"/>
                <w:highlight w:val="none"/>
              </w:rPr>
              <w:t>同时需提供近三个月内任意一个月响应单位为以上项目组成员缴纳的社保证明，未按要求提供或提供不全不得分。</w:t>
            </w:r>
          </w:p>
          <w:p w14:paraId="099FCF38">
            <w:pPr>
              <w:widowControl/>
              <w:spacing w:line="360" w:lineRule="exact"/>
              <w:rPr>
                <w:rFonts w:ascii="宋体" w:hAnsi="宋体"/>
                <w:color w:val="auto"/>
                <w:sz w:val="24"/>
                <w:szCs w:val="24"/>
                <w:highlight w:val="none"/>
              </w:rPr>
            </w:pPr>
          </w:p>
        </w:tc>
      </w:tr>
    </w:tbl>
    <w:p w14:paraId="77BF6A82">
      <w:pPr>
        <w:rPr>
          <w:color w:val="auto"/>
          <w:highlight w:val="none"/>
        </w:rPr>
      </w:pPr>
    </w:p>
    <w:p w14:paraId="7318B609">
      <w:pPr>
        <w:rPr>
          <w:color w:val="auto"/>
          <w:highlight w:val="none"/>
        </w:rPr>
      </w:pPr>
    </w:p>
    <w:p w14:paraId="630EF4B5">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注：1.评分细则中要求提供的证明文件及资料等在磋商响应文件中提供并加盖公章，否则不得分。</w:t>
      </w:r>
    </w:p>
    <w:p w14:paraId="699CED61">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2.评审时，未能按以上要求提供相应证明的，不作为评审依据，不得分。</w:t>
      </w:r>
    </w:p>
    <w:p w14:paraId="65838325">
      <w:pPr>
        <w:spacing w:line="360" w:lineRule="auto"/>
        <w:jc w:val="left"/>
        <w:rPr>
          <w:rFonts w:asciiTheme="minorEastAsia" w:hAnsiTheme="minorEastAsia"/>
          <w:color w:val="auto"/>
          <w:sz w:val="28"/>
          <w:szCs w:val="28"/>
          <w:highlight w:val="none"/>
        </w:rPr>
        <w:sectPr>
          <w:pgSz w:w="11906" w:h="16838"/>
          <w:pgMar w:top="1440" w:right="1800" w:bottom="1440" w:left="1800" w:header="851" w:footer="992" w:gutter="0"/>
          <w:cols w:space="425" w:num="1"/>
          <w:docGrid w:type="lines" w:linePitch="312" w:charSpace="0"/>
        </w:sectPr>
      </w:pPr>
    </w:p>
    <w:p w14:paraId="0CF2C210">
      <w:pPr>
        <w:pStyle w:val="2"/>
        <w:numPr>
          <w:ilvl w:val="0"/>
          <w:numId w:val="5"/>
        </w:numPr>
        <w:rPr>
          <w:rFonts w:asciiTheme="minorEastAsia" w:hAnsiTheme="minorEastAsia"/>
          <w:color w:val="auto"/>
          <w:highlight w:val="none"/>
        </w:rPr>
      </w:pPr>
      <w:bookmarkStart w:id="503" w:name="_Toc11507"/>
      <w:r>
        <w:rPr>
          <w:rFonts w:hint="eastAsia" w:asciiTheme="minorEastAsia" w:hAnsiTheme="minorEastAsia"/>
          <w:color w:val="auto"/>
          <w:highlight w:val="none"/>
        </w:rPr>
        <w:t>采购需求</w:t>
      </w:r>
      <w:bookmarkEnd w:id="503"/>
    </w:p>
    <w:p w14:paraId="1E635EC4">
      <w:pPr>
        <w:spacing w:line="360" w:lineRule="auto"/>
        <w:rPr>
          <w:rFonts w:ascii="宋体" w:hAnsi="宋体" w:cs="宋体"/>
          <w:b/>
          <w:color w:val="auto"/>
          <w:sz w:val="24"/>
          <w:highlight w:val="none"/>
        </w:rPr>
      </w:pPr>
      <w:r>
        <w:rPr>
          <w:rFonts w:hint="eastAsia" w:ascii="宋体" w:hAnsi="宋体" w:cs="宋体"/>
          <w:b/>
          <w:color w:val="auto"/>
          <w:sz w:val="24"/>
          <w:highlight w:val="none"/>
        </w:rPr>
        <w:t>一、项目背景</w:t>
      </w:r>
    </w:p>
    <w:p w14:paraId="0916F369">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党的二十大报告明确提出“推进新型工业化，加快建设制造强国、质量强国、航天强国、交通强国、网络强国、数字中国”。习近平总书记强调，要“大力推进新型工业化，发展数字经济，加快推动人工智能发展”，为推动AI与制造业深度融合指明了方向。国务院《关于深入实施“人工智能+”行动的意见》提出推进工业全要素智能化发展，推动工业全要素智能联动，加快人工智能在设计、中试、生产、服务、运营全环节落地应用。人工智能作为新一轮科技革命和产业变革的核心驱动力，正在成为重组全球要素资源、重塑全球经济结构的关键力量。</w:t>
      </w:r>
    </w:p>
    <w:p w14:paraId="09C3685A">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作为全国先进制造业基地，常州市紧扣“国际化智造名城”定位，深耕“1028”现代产业体系建设，深化“智改数转网联”工程，已具备人工智能赋能新型工业化的坚实产业支撑。在此背景下，常州市需要制定《常州市推动“AI+制造”发展三年行动计划》和《常州市人工智能赋能新型工业化实施方案》，通过核心技术攻关、应用场景拓展、产业生态构建等重点举措，破解发展瓶颈，推动人工智能在工业设计、生产、服务等全环节落地应用，加速制造业智能化跃升，培育形成新质生产力，深度融入长三角一体化发展战略，强化先进制造业基地和区域性科技创新高地建设的核心支撑，在新一轮产业变革中抢占发展制高点。</w:t>
      </w:r>
    </w:p>
    <w:p w14:paraId="4A333AFE">
      <w:pPr>
        <w:numPr>
          <w:ilvl w:val="0"/>
          <w:numId w:val="6"/>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商务要求</w:t>
      </w:r>
    </w:p>
    <w:p w14:paraId="7C4AECF6">
      <w:pPr>
        <w:numPr>
          <w:ilvl w:val="0"/>
          <w:numId w:val="7"/>
        </w:numPr>
        <w:spacing w:line="360" w:lineRule="auto"/>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交付（实施）的时间（期限）和地点（范围）</w:t>
      </w:r>
    </w:p>
    <w:p w14:paraId="1F887685">
      <w:pPr>
        <w:spacing w:line="360" w:lineRule="auto"/>
        <w:ind w:firstLine="420"/>
        <w:rPr>
          <w:rFonts w:ascii="宋体" w:hAnsi="宋体" w:cs="宋体"/>
          <w:color w:val="auto"/>
          <w:sz w:val="24"/>
          <w:szCs w:val="24"/>
          <w:highlight w:val="none"/>
        </w:rPr>
      </w:pPr>
      <w:r>
        <w:rPr>
          <w:rFonts w:hint="eastAsia" w:ascii="宋体" w:hAnsi="宋体" w:cs="宋体"/>
          <w:color w:val="auto"/>
          <w:sz w:val="24"/>
          <w:szCs w:val="24"/>
          <w:highlight w:val="none"/>
        </w:rPr>
        <w:t>实施时间：合同签订后，接到采购人通知6个月内完成。</w:t>
      </w:r>
    </w:p>
    <w:p w14:paraId="77E31C2E">
      <w:pPr>
        <w:spacing w:line="360" w:lineRule="auto"/>
        <w:ind w:firstLine="420"/>
        <w:rPr>
          <w:i/>
          <w:color w:val="auto"/>
          <w:sz w:val="24"/>
          <w:highlight w:val="none"/>
        </w:rPr>
      </w:pPr>
      <w:r>
        <w:rPr>
          <w:rFonts w:hint="eastAsia" w:ascii="宋体" w:hAnsi="宋体" w:cs="宋体"/>
          <w:color w:val="auto"/>
          <w:sz w:val="24"/>
          <w:szCs w:val="24"/>
          <w:highlight w:val="none"/>
        </w:rPr>
        <w:t>地点：采购人指定地点</w:t>
      </w:r>
    </w:p>
    <w:p w14:paraId="47A771E1">
      <w:pPr>
        <w:numPr>
          <w:ilvl w:val="0"/>
          <w:numId w:val="7"/>
        </w:numPr>
        <w:spacing w:line="360" w:lineRule="auto"/>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付款条件（进度和方式）</w:t>
      </w:r>
    </w:p>
    <w:p w14:paraId="0F68D8F5">
      <w:pPr>
        <w:spacing w:line="360" w:lineRule="auto"/>
        <w:ind w:firstLine="480" w:firstLineChars="200"/>
        <w:rPr>
          <w:color w:val="auto"/>
          <w:sz w:val="24"/>
          <w:highlight w:val="none"/>
        </w:rPr>
      </w:pPr>
      <w:r>
        <w:rPr>
          <w:rFonts w:hint="eastAsia"/>
          <w:color w:val="auto"/>
          <w:sz w:val="24"/>
          <w:highlight w:val="none"/>
        </w:rPr>
        <w:t>签订合同后，采购人向供应商支付合同总金额的50%作为预付款，项目完成并验收合格后支付合同余款50%。（具体付款时间根据上级财政拨款进度为准，如上级财政资金拨付延迟，采购人不承担上述损失及违约金。）</w:t>
      </w:r>
    </w:p>
    <w:p w14:paraId="52AE41EB">
      <w:pPr>
        <w:numPr>
          <w:ilvl w:val="0"/>
          <w:numId w:val="6"/>
        </w:num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技术要求</w:t>
      </w:r>
    </w:p>
    <w:p w14:paraId="34C476F5">
      <w:pPr>
        <w:numPr>
          <w:ilvl w:val="0"/>
          <w:numId w:val="7"/>
        </w:numPr>
        <w:spacing w:line="360" w:lineRule="auto"/>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工作内容及要求</w:t>
      </w:r>
    </w:p>
    <w:p w14:paraId="6F4B9BA3">
      <w:pPr>
        <w:numPr>
          <w:ilvl w:val="0"/>
          <w:numId w:val="8"/>
        </w:numPr>
        <w:spacing w:line="360" w:lineRule="auto"/>
        <w:ind w:firstLine="480" w:firstLineChars="200"/>
        <w:rPr>
          <w:color w:val="auto"/>
          <w:sz w:val="24"/>
          <w:highlight w:val="none"/>
        </w:rPr>
      </w:pPr>
      <w:r>
        <w:rPr>
          <w:rFonts w:hint="eastAsia"/>
          <w:color w:val="auto"/>
          <w:sz w:val="24"/>
          <w:highlight w:val="none"/>
        </w:rPr>
        <w:t>主要编制内容</w:t>
      </w:r>
    </w:p>
    <w:p w14:paraId="4D85E948">
      <w:pPr>
        <w:spacing w:line="360" w:lineRule="auto"/>
        <w:ind w:firstLine="480" w:firstLineChars="200"/>
        <w:rPr>
          <w:color w:val="auto"/>
          <w:sz w:val="24"/>
          <w:highlight w:val="none"/>
        </w:rPr>
      </w:pPr>
      <w:r>
        <w:rPr>
          <w:rFonts w:hint="eastAsia"/>
          <w:color w:val="auto"/>
          <w:sz w:val="24"/>
          <w:highlight w:val="none"/>
        </w:rPr>
        <w:t>准确把握人工智能赋能新型工业化发展态势，深入贯彻国家和江苏省对人工智能赋能新型工业化的战略部署，紧扣我市“1028”产业体系建设主线，系统谋划“十五五”时期</w:t>
      </w:r>
      <w:r>
        <w:rPr>
          <w:color w:val="auto"/>
          <w:sz w:val="24"/>
          <w:highlight w:val="none"/>
        </w:rPr>
        <w:t>人工智能与制造业深度融合的路径和模式</w:t>
      </w:r>
      <w:r>
        <w:rPr>
          <w:rFonts w:hint="eastAsia"/>
          <w:color w:val="auto"/>
          <w:sz w:val="24"/>
          <w:highlight w:val="none"/>
        </w:rPr>
        <w:t>，明确发展重点，列出主要任务，制定发展目标与措施，推动人工智能与我市“1028”产业体系全链条、深层次融合，拓展人工智能赋能新型工业化细分领域特色应用场景，促进我市制造业智能化升级，加速培育新质生产力，为我市打造长三角人工智能赋能新型工业化示范区注入强劲动能。</w:t>
      </w:r>
    </w:p>
    <w:p w14:paraId="5701317C">
      <w:pPr>
        <w:numPr>
          <w:ilvl w:val="0"/>
          <w:numId w:val="8"/>
        </w:numPr>
        <w:spacing w:line="360" w:lineRule="auto"/>
        <w:ind w:firstLine="480" w:firstLineChars="200"/>
        <w:rPr>
          <w:color w:val="auto"/>
          <w:sz w:val="24"/>
          <w:highlight w:val="none"/>
        </w:rPr>
      </w:pPr>
      <w:r>
        <w:rPr>
          <w:color w:val="auto"/>
          <w:sz w:val="24"/>
          <w:highlight w:val="none"/>
        </w:rPr>
        <w:t>编制范围与期限</w:t>
      </w:r>
    </w:p>
    <w:p w14:paraId="661FF313">
      <w:pPr>
        <w:spacing w:line="360" w:lineRule="auto"/>
        <w:ind w:firstLine="480" w:firstLineChars="200"/>
        <w:rPr>
          <w:color w:val="auto"/>
          <w:sz w:val="24"/>
          <w:highlight w:val="none"/>
        </w:rPr>
      </w:pPr>
      <w:r>
        <w:rPr>
          <w:rFonts w:hint="eastAsia" w:ascii="宋体" w:hAnsi="宋体" w:cs="宋体"/>
          <w:bCs/>
          <w:color w:val="auto"/>
          <w:sz w:val="24"/>
          <w:highlight w:val="none"/>
        </w:rPr>
        <w:t>《常州市推动“AI+制造”发展三年行动计划》</w:t>
      </w:r>
      <w:r>
        <w:rPr>
          <w:color w:val="auto"/>
          <w:sz w:val="24"/>
          <w:highlight w:val="none"/>
        </w:rPr>
        <w:t>编制范围为人工智能</w:t>
      </w:r>
      <w:r>
        <w:rPr>
          <w:rFonts w:hint="eastAsia"/>
          <w:color w:val="auto"/>
          <w:sz w:val="24"/>
          <w:highlight w:val="none"/>
        </w:rPr>
        <w:t>与</w:t>
      </w:r>
      <w:r>
        <w:rPr>
          <w:color w:val="auto"/>
          <w:sz w:val="24"/>
          <w:highlight w:val="none"/>
        </w:rPr>
        <w:t>制造业深度融合路径，期限为2026—20</w:t>
      </w:r>
      <w:r>
        <w:rPr>
          <w:rFonts w:hint="eastAsia"/>
          <w:color w:val="auto"/>
          <w:sz w:val="24"/>
          <w:highlight w:val="none"/>
        </w:rPr>
        <w:t>28</w:t>
      </w:r>
      <w:r>
        <w:rPr>
          <w:color w:val="auto"/>
          <w:sz w:val="24"/>
          <w:highlight w:val="none"/>
        </w:rPr>
        <w:t>年；</w:t>
      </w:r>
    </w:p>
    <w:p w14:paraId="5C1AEBF4">
      <w:pPr>
        <w:spacing w:line="360" w:lineRule="auto"/>
        <w:ind w:firstLine="480" w:firstLineChars="200"/>
        <w:rPr>
          <w:color w:val="auto"/>
          <w:sz w:val="24"/>
          <w:highlight w:val="none"/>
        </w:rPr>
      </w:pPr>
      <w:r>
        <w:rPr>
          <w:rFonts w:hint="eastAsia" w:ascii="宋体" w:hAnsi="宋体" w:cs="宋体"/>
          <w:bCs/>
          <w:color w:val="auto"/>
          <w:sz w:val="24"/>
          <w:highlight w:val="none"/>
        </w:rPr>
        <w:t>《常州市人工智能赋能新型工业化实施方案》</w:t>
      </w:r>
      <w:r>
        <w:rPr>
          <w:color w:val="auto"/>
          <w:sz w:val="24"/>
          <w:highlight w:val="none"/>
        </w:rPr>
        <w:t>编制范围为常州市人工智能赋能新型工业化领域，期限为2026—2030年。</w:t>
      </w:r>
    </w:p>
    <w:p w14:paraId="684B88F4">
      <w:pPr>
        <w:spacing w:line="360" w:lineRule="auto"/>
        <w:ind w:firstLine="482" w:firstLineChars="20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（二）人员要求</w:t>
      </w:r>
    </w:p>
    <w:p w14:paraId="05274FDE">
      <w:pPr>
        <w:widowControl/>
        <w:spacing w:line="440" w:lineRule="exact"/>
        <w:ind w:firstLine="480" w:firstLineChars="200"/>
        <w:jc w:val="left"/>
        <w:rPr>
          <w:color w:val="auto"/>
          <w:sz w:val="24"/>
          <w:highlight w:val="none"/>
        </w:rPr>
      </w:pPr>
      <w:r>
        <w:rPr>
          <w:rFonts w:hint="eastAsia"/>
          <w:color w:val="auto"/>
          <w:sz w:val="24"/>
          <w:highlight w:val="none"/>
        </w:rPr>
        <w:t>团队不少于10人，项目负责人需具备高级及以上职称或</w:t>
      </w:r>
      <w:r>
        <w:rPr>
          <w:rFonts w:ascii="宋体" w:hAnsi="宋体"/>
          <w:color w:val="auto"/>
          <w:sz w:val="24"/>
          <w:szCs w:val="24"/>
          <w:highlight w:val="none"/>
        </w:rPr>
        <w:t>博士研究生学历</w:t>
      </w:r>
      <w:r>
        <w:rPr>
          <w:rFonts w:hint="eastAsia"/>
          <w:color w:val="auto"/>
          <w:sz w:val="24"/>
          <w:highlight w:val="none"/>
        </w:rPr>
        <w:t>，曾主持过区市及以上产业规划。团队成员需包括人工智能、数字经济、智能制造等领域的专家，具备相关专业背景和实际项目经验。同时配备熟悉产业经济、区域发展、政策研究等领域专家，确保规划与国家和地方政策相衔接。</w:t>
      </w:r>
    </w:p>
    <w:p w14:paraId="530AFB2C">
      <w:pPr>
        <w:widowControl/>
        <w:spacing w:line="440" w:lineRule="exact"/>
        <w:ind w:firstLine="490" w:firstLineChars="200"/>
        <w:jc w:val="left"/>
        <w:rPr>
          <w:rFonts w:ascii="宋体" w:hAnsi="宋体" w:eastAsia="宋体" w:cs="宋体"/>
          <w:b/>
          <w:bCs/>
          <w:color w:val="auto"/>
          <w:spacing w:val="2"/>
          <w:kern w:val="0"/>
          <w:sz w:val="24"/>
          <w:szCs w:val="24"/>
          <w:highlight w:val="none"/>
        </w:rPr>
      </w:pPr>
      <w:r>
        <w:rPr>
          <w:rFonts w:hint="eastAsia" w:ascii="宋体" w:hAnsi="宋体" w:eastAsia="宋体" w:cs="宋体"/>
          <w:b/>
          <w:bCs/>
          <w:color w:val="auto"/>
          <w:spacing w:val="2"/>
          <w:kern w:val="0"/>
          <w:sz w:val="24"/>
          <w:szCs w:val="24"/>
          <w:highlight w:val="none"/>
        </w:rPr>
        <w:t>（三）成果要求</w:t>
      </w:r>
    </w:p>
    <w:p w14:paraId="4B1335F3">
      <w:pPr>
        <w:widowControl/>
        <w:spacing w:line="440" w:lineRule="exact"/>
        <w:ind w:firstLine="488" w:firstLineChars="200"/>
        <w:jc w:val="left"/>
        <w:rPr>
          <w:rFonts w:ascii="宋体" w:hAnsi="宋体" w:eastAsia="宋体" w:cs="宋体"/>
          <w:color w:val="auto"/>
          <w:spacing w:val="2"/>
          <w:kern w:val="0"/>
          <w:sz w:val="24"/>
          <w:szCs w:val="24"/>
          <w:highlight w:val="none"/>
        </w:rPr>
      </w:pPr>
      <w:r>
        <w:rPr>
          <w:rFonts w:hint="eastAsia" w:ascii="宋体" w:hAnsi="宋体" w:eastAsia="宋体" w:cs="宋体"/>
          <w:color w:val="auto"/>
          <w:spacing w:val="2"/>
          <w:kern w:val="0"/>
          <w:sz w:val="24"/>
          <w:szCs w:val="24"/>
          <w:highlight w:val="none"/>
        </w:rPr>
        <w:t>按照行动方案与实施意见编制要求，规划成果最终编制形成</w:t>
      </w:r>
      <w:bookmarkStart w:id="504" w:name="OLE_LINK2"/>
      <w:bookmarkStart w:id="505" w:name="OLE_LINK1"/>
      <w:r>
        <w:rPr>
          <w:rFonts w:hint="eastAsia" w:ascii="宋体" w:hAnsi="宋体" w:eastAsia="宋体" w:cs="宋体"/>
          <w:color w:val="auto"/>
          <w:spacing w:val="2"/>
          <w:kern w:val="0"/>
          <w:sz w:val="24"/>
          <w:szCs w:val="24"/>
          <w:highlight w:val="none"/>
        </w:rPr>
        <w:t>《常州市推动“AI+制造”发展三年行动计划》（以下简称《行动计划》）和《常州市人工智能赋能新型工业化实施方案》</w:t>
      </w:r>
      <w:bookmarkEnd w:id="504"/>
      <w:bookmarkEnd w:id="505"/>
      <w:r>
        <w:rPr>
          <w:rFonts w:hint="eastAsia" w:ascii="宋体" w:hAnsi="宋体" w:eastAsia="宋体" w:cs="宋体"/>
          <w:color w:val="auto"/>
          <w:spacing w:val="2"/>
          <w:kern w:val="0"/>
          <w:sz w:val="24"/>
          <w:szCs w:val="24"/>
          <w:highlight w:val="none"/>
        </w:rPr>
        <w:t>（以下简称《实施方案》），纸质材料统一装订为标准A4格式。以上内容包括纸质成果和电子文件成果等。</w:t>
      </w:r>
    </w:p>
    <w:p w14:paraId="2783A191">
      <w:pPr>
        <w:pStyle w:val="34"/>
        <w:numPr>
          <w:ilvl w:val="0"/>
          <w:numId w:val="9"/>
        </w:numPr>
        <w:adjustRightInd w:val="0"/>
        <w:spacing w:line="360" w:lineRule="auto"/>
        <w:ind w:firstLine="482"/>
        <w:contextualSpacing/>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履约验收要求</w:t>
      </w:r>
    </w:p>
    <w:p w14:paraId="12833CC2">
      <w:pPr>
        <w:pStyle w:val="34"/>
        <w:adjustRightInd w:val="0"/>
        <w:spacing w:line="360" w:lineRule="auto"/>
        <w:ind w:firstLine="480"/>
        <w:contextualSpacing/>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供应商完成的成果需通过采购人验收。</w:t>
      </w:r>
    </w:p>
    <w:p w14:paraId="35F788DE">
      <w:pPr>
        <w:pStyle w:val="34"/>
        <w:adjustRightInd w:val="0"/>
        <w:spacing w:line="360" w:lineRule="auto"/>
        <w:ind w:firstLine="482"/>
        <w:contextualSpacing/>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（五）知识产权和保密要求</w:t>
      </w:r>
    </w:p>
    <w:p w14:paraId="39B1C20F">
      <w:pPr>
        <w:pStyle w:val="34"/>
        <w:adjustRightInd w:val="0"/>
        <w:spacing w:line="360" w:lineRule="auto"/>
        <w:ind w:firstLine="480"/>
        <w:contextualSpacing/>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1、供应商应保证采购人在使用、接受本项目服务或其任何一部分时不受第三方提出侵犯其专利权、版权、商标权等知识产权的起诉。一旦出现侵权，由供应商负全部责任。</w:t>
      </w:r>
    </w:p>
    <w:p w14:paraId="6BB58318">
      <w:pPr>
        <w:pStyle w:val="34"/>
        <w:adjustRightInd w:val="0"/>
        <w:spacing w:line="360" w:lineRule="auto"/>
        <w:ind w:firstLine="480"/>
        <w:contextualSpacing/>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2、供应商提交的所有成果，其所有权均归采购人所有，采购人可任意使用其全部成果。供应商未经采购人允许或授权，不得为本项目规定目的以外的自身利益和其他任何方利益而使用。</w:t>
      </w:r>
    </w:p>
    <w:p w14:paraId="6448A47B">
      <w:pPr>
        <w:pStyle w:val="34"/>
        <w:adjustRightInd w:val="0"/>
        <w:spacing w:line="360" w:lineRule="auto"/>
        <w:ind w:firstLine="480"/>
        <w:contextualSpacing/>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3、供应商及其工作人员应对履行本项目所知悉、收集的一切信息承担保密义务，未经采购人书面允许，不得擅自对外披露。</w:t>
      </w:r>
    </w:p>
    <w:p w14:paraId="771CC551">
      <w:pPr>
        <w:spacing w:line="360" w:lineRule="auto"/>
        <w:ind w:right="210"/>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四、报价方式</w:t>
      </w:r>
    </w:p>
    <w:p w14:paraId="638DBFC4">
      <w:pPr>
        <w:snapToGrid w:val="0"/>
        <w:spacing w:line="360" w:lineRule="auto"/>
        <w:ind w:firstLine="488" w:firstLineChars="200"/>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本项目报价为</w:t>
      </w:r>
      <w:r>
        <w:rPr>
          <w:rFonts w:hint="eastAsia" w:ascii="宋体" w:hAnsi="宋体" w:eastAsia="宋体" w:cs="宋体"/>
          <w:b/>
          <w:bCs/>
          <w:color w:val="auto"/>
          <w:spacing w:val="2"/>
          <w:sz w:val="24"/>
          <w:szCs w:val="24"/>
          <w:highlight w:val="none"/>
        </w:rPr>
        <w:t>固定总价</w:t>
      </w:r>
      <w:r>
        <w:rPr>
          <w:rFonts w:hint="eastAsia" w:ascii="宋体" w:hAnsi="宋体" w:eastAsia="宋体" w:cs="宋体"/>
          <w:color w:val="auto"/>
          <w:spacing w:val="2"/>
          <w:sz w:val="24"/>
          <w:szCs w:val="24"/>
          <w:highlight w:val="none"/>
        </w:rPr>
        <w:t>，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22F57E89">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报价货币为人民币，评审时以人民币为准。</w:t>
      </w:r>
    </w:p>
    <w:p w14:paraId="302F8F70">
      <w:pPr>
        <w:pStyle w:val="34"/>
        <w:adjustRightInd w:val="0"/>
        <w:spacing w:line="360" w:lineRule="auto"/>
        <w:contextualSpacing/>
        <w:jc w:val="left"/>
        <w:rPr>
          <w:color w:val="auto"/>
          <w:highlight w:val="none"/>
        </w:rPr>
        <w:sectPr>
          <w:pgSz w:w="11906" w:h="16838"/>
          <w:pgMar w:top="1440" w:right="1800" w:bottom="1440" w:left="1800" w:header="851" w:footer="992" w:gutter="0"/>
          <w:cols w:space="720" w:num="1"/>
          <w:docGrid w:type="lines" w:linePitch="312" w:charSpace="0"/>
        </w:sectPr>
      </w:pPr>
    </w:p>
    <w:p w14:paraId="2A903929">
      <w:pPr>
        <w:pStyle w:val="34"/>
        <w:adjustRightInd w:val="0"/>
        <w:spacing w:line="360" w:lineRule="auto"/>
        <w:ind w:firstLine="480"/>
        <w:contextualSpacing/>
        <w:jc w:val="left"/>
        <w:rPr>
          <w:rFonts w:ascii="宋体" w:hAnsi="宋体" w:eastAsia="宋体" w:cs="宋体"/>
          <w:color w:val="auto"/>
          <w:sz w:val="24"/>
          <w:szCs w:val="24"/>
          <w:highlight w:val="none"/>
        </w:rPr>
      </w:pPr>
      <w:bookmarkStart w:id="506" w:name="_Toc104818929"/>
    </w:p>
    <w:p w14:paraId="0574C297">
      <w:pPr>
        <w:pStyle w:val="2"/>
        <w:rPr>
          <w:rFonts w:asciiTheme="minorEastAsia" w:hAnsiTheme="minorEastAsia"/>
          <w:color w:val="auto"/>
          <w:highlight w:val="none"/>
        </w:rPr>
      </w:pPr>
      <w:bookmarkStart w:id="507" w:name="_Toc19460"/>
      <w:r>
        <w:rPr>
          <w:rFonts w:asciiTheme="minorEastAsia" w:hAnsiTheme="minorEastAsia"/>
          <w:color w:val="auto"/>
          <w:highlight w:val="none"/>
        </w:rPr>
        <w:t>第五章</w:t>
      </w:r>
      <w:r>
        <w:rPr>
          <w:rFonts w:hint="eastAsia" w:asciiTheme="minorEastAsia" w:hAnsiTheme="minorEastAsia"/>
          <w:color w:val="auto"/>
          <w:highlight w:val="none"/>
        </w:rPr>
        <w:t xml:space="preserve"> </w:t>
      </w:r>
      <w:r>
        <w:rPr>
          <w:rFonts w:asciiTheme="minorEastAsia" w:hAnsiTheme="minorEastAsia"/>
          <w:color w:val="auto"/>
          <w:highlight w:val="none"/>
        </w:rPr>
        <w:t>合同草案条款</w:t>
      </w:r>
      <w:bookmarkEnd w:id="506"/>
      <w:bookmarkEnd w:id="507"/>
    </w:p>
    <w:p w14:paraId="0C582298">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采购人（以下称甲方）:                       合同编号：</w:t>
      </w:r>
    </w:p>
    <w:p w14:paraId="4A80B714">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供应商（以下称乙方）:                       签订地点：</w:t>
      </w:r>
    </w:p>
    <w:p w14:paraId="35D432C7">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合同时间:     年   月   日</w:t>
      </w:r>
    </w:p>
    <w:p w14:paraId="19BE567C">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甲乙双方依据《中华人民共和国民法典》以及有关法律、法规的规定，经协商一致，订立本合同，以便共同遵守。</w:t>
      </w:r>
    </w:p>
    <w:p w14:paraId="0D37AC74">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第一条 合同标的</w:t>
      </w:r>
    </w:p>
    <w:p w14:paraId="082277F8">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乙方根据甲方需求提供下列服务：，系指根据合同规定乙方须承担与服务有关的所有辅助服务。</w:t>
      </w:r>
    </w:p>
    <w:p w14:paraId="08290C42">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第二条 合同价格</w:t>
      </w:r>
    </w:p>
    <w:p w14:paraId="4F6CF344">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签约合同总价（人民币，下同）：          元（小写       元）。</w:t>
      </w:r>
    </w:p>
    <w:p w14:paraId="7F6C39EB">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p>
    <w:p w14:paraId="48659A30">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本合同总价款还包含乙方应当提供的伴随服务/售后服务费用。</w:t>
      </w:r>
    </w:p>
    <w:p w14:paraId="596234DE">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第三条 组成本合同的有关文件</w:t>
      </w:r>
    </w:p>
    <w:p w14:paraId="55D2CEDC">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下列与本次采购活动有关的文件及有关附件是本合同不可分割的组成部分，与本合同具有同等法律效力，这些文件包括但不限于：</w:t>
      </w:r>
    </w:p>
    <w:p w14:paraId="57C5A57B">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（1）竞争性磋商文件（编号：      ）（2）乙方提供的磋商响应文件；</w:t>
      </w:r>
    </w:p>
    <w:p w14:paraId="3366BD58">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（3）成交通知书；                  （4）甲乙双方商定的其他文件等。</w:t>
      </w:r>
    </w:p>
    <w:p w14:paraId="265E0E78">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第四条 合同款结算及支付</w:t>
      </w:r>
    </w:p>
    <w:p w14:paraId="721E4112">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1.本合同项下所有款项均以人民币支付。</w:t>
      </w:r>
    </w:p>
    <w:p w14:paraId="4921D014">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2.本合同项下的采购资金由甲方自行支付，乙方向甲方开具发票。</w:t>
      </w:r>
    </w:p>
    <w:p w14:paraId="7C7E3B25">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3.结算方式：固定总价。</w:t>
      </w:r>
    </w:p>
    <w:p w14:paraId="5E4DDDFE">
      <w:pPr>
        <w:spacing w:line="360" w:lineRule="auto"/>
        <w:contextualSpacing/>
        <w:rPr>
          <w:rFonts w:ascii="宋体" w:hAnsi="宋体" w:eastAsia="宋体" w:cs="宋体"/>
          <w:bCs/>
          <w:color w:val="auto"/>
          <w:sz w:val="24"/>
          <w:highlight w:val="none"/>
        </w:rPr>
      </w:pPr>
      <w:r>
        <w:rPr>
          <w:rFonts w:hint="eastAsia" w:ascii="宋体" w:hAnsi="宋体" w:cs="宋体"/>
          <w:color w:val="auto"/>
          <w:kern w:val="0"/>
          <w:sz w:val="24"/>
          <w:szCs w:val="24"/>
          <w:highlight w:val="none"/>
        </w:rPr>
        <w:t>4.付款方式：</w:t>
      </w:r>
      <w:r>
        <w:rPr>
          <w:rFonts w:hint="eastAsia"/>
          <w:color w:val="auto"/>
          <w:sz w:val="24"/>
          <w:highlight w:val="none"/>
        </w:rPr>
        <w:t>签订合同后，甲方向乙方支付合同总金额的50%作为预付款，项目完成并验收合格后支付合同余款50%。（具体付款时间根据上级财政拨款进度为准，如上级财政资金拨付延迟，甲方不承担上述损失及违约金。）</w:t>
      </w:r>
    </w:p>
    <w:p w14:paraId="27EBAD21">
      <w:pPr>
        <w:spacing w:line="360" w:lineRule="auto"/>
        <w:jc w:val="left"/>
        <w:rPr>
          <w:rFonts w:ascii="宋体" w:hAnsi="宋体" w:cs="宋体"/>
          <w:color w:val="auto"/>
          <w:kern w:val="0"/>
          <w:sz w:val="24"/>
          <w:szCs w:val="24"/>
          <w:highlight w:val="none"/>
        </w:rPr>
      </w:pPr>
    </w:p>
    <w:p w14:paraId="4C4F9903">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第五条 违约责任</w:t>
      </w:r>
    </w:p>
    <w:p w14:paraId="4B54FC8A">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1.如乙方不能按约定进行服务的，甲方有权解除合同，同时有权要求乙方按照合同总价5%的标准支付违约金，解除合同的通知自发出之日生效。</w:t>
      </w:r>
    </w:p>
    <w:p w14:paraId="09A13546">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2.甲方未按合同规定的期限向乙方支付款项的，每逾期1天甲方向乙方偿付欠款总额的5‰滞纳金，但累计滞纳金总额不超过欠款总额的5% 。</w:t>
      </w:r>
    </w:p>
    <w:p w14:paraId="1A29ED5F">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3.乙方未按本合同的规定和“服务承诺”提供伴随服务的，甲方有权提前解除本合同，同时乙方应按合同总价款的5 %向甲方承担违约责任。</w:t>
      </w:r>
    </w:p>
    <w:p w14:paraId="0A7F1629">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4.乙方在承担上述一项或多项违约责任后，仍应继续履行合同规定的义务（甲方解除合同的除外）。甲方未能及时追究乙方的任何一项违约责任并不表明甲方放弃追究乙方该项或其他违约责任。</w:t>
      </w:r>
    </w:p>
    <w:p w14:paraId="130B96BA">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5.乙方有虚假承诺，或是由于乙方的过错造成合同无法继续履行的，应向甲方支付不少于合同总价30%违约金，若该违约金不足以弥补甲方损失，则应当赔偿甲方所有损失。</w:t>
      </w:r>
    </w:p>
    <w:p w14:paraId="186AAEDB">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6.其他未尽事宜，以《中华人民共和国民法典》等有关法律法规规定为准，无相关规定的，双方协商解决。</w:t>
      </w:r>
    </w:p>
    <w:p w14:paraId="105C268B">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第六条 合同的变更和终止</w:t>
      </w:r>
    </w:p>
    <w:p w14:paraId="72BA1E20">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1.本合同一经签订，甲乙双方不得擅自变更、中止或终止合同。</w:t>
      </w:r>
    </w:p>
    <w:p w14:paraId="0A265182">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2.除发生法律规定的不能预见、不能避免并不能克服的客观情况外，甲乙双方不得放弃或拒绝履行合同。</w:t>
      </w:r>
    </w:p>
    <w:p w14:paraId="53AB06A1">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第七条 合同的转让</w:t>
      </w:r>
    </w:p>
    <w:p w14:paraId="5295EB39">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乙方不得擅自部分或全部转让其应履行的合同义务。</w:t>
      </w:r>
    </w:p>
    <w:p w14:paraId="50E2E7F7">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第八条 不可抗力</w:t>
      </w:r>
    </w:p>
    <w:p w14:paraId="09A7D210">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甲、乙方中任何一方，因不可抗力不能按时或完全履行合同的，应及时通知对方，并在   个工作日内提供相应证明。未履行完合同部分是否继续履行、如何履行等问题，可由双方初步协商，并向主管部门报告。确定为不可抗力原因造成的损失，免予承担责任。</w:t>
      </w:r>
    </w:p>
    <w:p w14:paraId="7B048901">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第九条 争议的解决</w:t>
      </w:r>
    </w:p>
    <w:p w14:paraId="3A1D5D8B">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1.因履行本合同引起的或与本合同有关的争议，甲、乙双方应首先通过友好协商解决，如果协商不能解决争议，则采取以下第（ ）种方式解决争议：</w:t>
      </w:r>
    </w:p>
    <w:p w14:paraId="48E42647">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（1）向甲方所在地人民法院提起诉讼；</w:t>
      </w:r>
    </w:p>
    <w:p w14:paraId="6E91BBAD">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（2）向甲方所在地仲裁委员会按其仲裁规则申请仲裁。</w:t>
      </w:r>
    </w:p>
    <w:p w14:paraId="508F9C36">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如没有约定，默认采取第2种方式解决争议。</w:t>
      </w:r>
    </w:p>
    <w:p w14:paraId="45CD5548">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2.在法院审理和仲裁期间，除有争议部分外，本合同其他部分应继续履行。</w:t>
      </w:r>
    </w:p>
    <w:p w14:paraId="006FB17D">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第十条 诚实信用 </w:t>
      </w:r>
    </w:p>
    <w:p w14:paraId="6B21688F">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乙方应诚实信用，严格按照竞争性磋商文件要求和磋商承诺履行合同，不向甲方进行商业贿赂或者提供不正当利益。</w:t>
      </w:r>
    </w:p>
    <w:p w14:paraId="0B7B0C19">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第十一条 合同生效及其他</w:t>
      </w:r>
    </w:p>
    <w:p w14:paraId="233968A7">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1.本合同自经甲乙双方授权代表签订并加盖公章后，自签订之日起生效。</w:t>
      </w:r>
    </w:p>
    <w:p w14:paraId="0F5C02D3">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2.本合同一式肆份，甲乙双方各执贰份。</w:t>
      </w:r>
    </w:p>
    <w:p w14:paraId="13121AE4">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3.本合同应按照中华人民共和国的现行法律进行解释。</w:t>
      </w:r>
    </w:p>
    <w:p w14:paraId="727E54A8">
      <w:pPr>
        <w:spacing w:line="360" w:lineRule="auto"/>
        <w:jc w:val="left"/>
        <w:rPr>
          <w:rFonts w:ascii="宋体" w:hAnsi="宋体" w:cs="宋体"/>
          <w:color w:val="auto"/>
          <w:kern w:val="0"/>
          <w:sz w:val="24"/>
          <w:szCs w:val="24"/>
          <w:highlight w:val="none"/>
        </w:rPr>
      </w:pPr>
    </w:p>
    <w:p w14:paraId="72510820">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甲    方：                               乙    方：</w:t>
      </w:r>
    </w:p>
    <w:p w14:paraId="337BEAC4">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单位名称（章）：                          单位名称（章）：</w:t>
      </w:r>
    </w:p>
    <w:p w14:paraId="1817801A">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单位地址：                               单位地址：</w:t>
      </w:r>
    </w:p>
    <w:p w14:paraId="2EC3CEFE">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法定代表人：       委托代理人：          法定代表人：     委托代理人：                            </w:t>
      </w:r>
    </w:p>
    <w:p w14:paraId="18AF8133">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                                   电话：            传真：</w:t>
      </w:r>
    </w:p>
    <w:p w14:paraId="79F21AA8">
      <w:pPr>
        <w:spacing w:line="360" w:lineRule="auto"/>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传真：                                   开户银行：        账号：</w:t>
      </w:r>
    </w:p>
    <w:p w14:paraId="7E506D31">
      <w:pPr>
        <w:spacing w:line="360" w:lineRule="auto"/>
        <w:jc w:val="left"/>
        <w:rPr>
          <w:rFonts w:ascii="宋体" w:hAnsi="宋体" w:cs="宋体"/>
          <w:color w:val="auto"/>
          <w:kern w:val="0"/>
          <w:sz w:val="24"/>
          <w:szCs w:val="24"/>
          <w:highlight w:val="none"/>
        </w:rPr>
      </w:pPr>
    </w:p>
    <w:p w14:paraId="0C80DEB7">
      <w:pPr>
        <w:spacing w:line="360" w:lineRule="auto"/>
        <w:jc w:val="left"/>
        <w:rPr>
          <w:rFonts w:ascii="宋体" w:hAnsi="宋体" w:cs="宋体"/>
          <w:color w:val="auto"/>
          <w:kern w:val="0"/>
          <w:sz w:val="24"/>
          <w:szCs w:val="24"/>
          <w:highlight w:val="none"/>
        </w:rPr>
      </w:pPr>
    </w:p>
    <w:p w14:paraId="674DCCCA">
      <w:pPr>
        <w:spacing w:line="360" w:lineRule="auto"/>
        <w:ind w:firstLine="480" w:firstLineChars="200"/>
        <w:jc w:val="left"/>
        <w:rPr>
          <w:rFonts w:ascii="宋体" w:hAnsi="宋体" w:cs="宋体"/>
          <w:color w:val="auto"/>
          <w:kern w:val="0"/>
          <w:sz w:val="24"/>
          <w:szCs w:val="24"/>
          <w:highlight w:val="none"/>
        </w:rPr>
      </w:pPr>
    </w:p>
    <w:p w14:paraId="6421342E">
      <w:pPr>
        <w:spacing w:line="360" w:lineRule="auto"/>
        <w:jc w:val="left"/>
        <w:rPr>
          <w:rFonts w:ascii="宋体" w:hAnsi="宋体" w:cs="宋体"/>
          <w:color w:val="auto"/>
          <w:kern w:val="0"/>
          <w:sz w:val="24"/>
          <w:szCs w:val="24"/>
          <w:highlight w:val="none"/>
        </w:rPr>
      </w:pPr>
      <w:r>
        <w:rPr>
          <w:rFonts w:ascii="宋体" w:hAnsi="宋体" w:cs="宋体"/>
          <w:color w:val="auto"/>
          <w:kern w:val="0"/>
          <w:sz w:val="24"/>
          <w:szCs w:val="24"/>
          <w:highlight w:val="none"/>
        </w:rPr>
        <w:t>以上格式</w:t>
      </w:r>
      <w:r>
        <w:rPr>
          <w:rFonts w:hint="eastAsia" w:ascii="宋体" w:hAnsi="宋体" w:cs="宋体"/>
          <w:color w:val="auto"/>
          <w:kern w:val="0"/>
          <w:sz w:val="24"/>
          <w:szCs w:val="24"/>
          <w:highlight w:val="none"/>
        </w:rPr>
        <w:t>及内容</w:t>
      </w:r>
      <w:r>
        <w:rPr>
          <w:rFonts w:ascii="宋体" w:hAnsi="宋体" w:cs="宋体"/>
          <w:color w:val="auto"/>
          <w:kern w:val="0"/>
          <w:sz w:val="24"/>
          <w:szCs w:val="24"/>
          <w:highlight w:val="none"/>
        </w:rPr>
        <w:t>仅供参考</w:t>
      </w:r>
    </w:p>
    <w:p w14:paraId="41120C58">
      <w:pPr>
        <w:jc w:val="left"/>
        <w:rPr>
          <w:rFonts w:cs="Times New Roman" w:asciiTheme="minorEastAsia" w:hAnsiTheme="minorEastAsia"/>
          <w:color w:val="auto"/>
          <w:sz w:val="24"/>
          <w:szCs w:val="24"/>
          <w:highlight w:val="none"/>
        </w:rPr>
        <w:sectPr>
          <w:pgSz w:w="11906" w:h="16838"/>
          <w:pgMar w:top="1440" w:right="1800" w:bottom="1440" w:left="1800" w:header="851" w:footer="992" w:gutter="0"/>
          <w:cols w:space="0" w:num="1"/>
          <w:docGrid w:type="lines" w:linePitch="312" w:charSpace="0"/>
        </w:sectPr>
      </w:pPr>
    </w:p>
    <w:p w14:paraId="45473392">
      <w:pPr>
        <w:pStyle w:val="2"/>
        <w:rPr>
          <w:rFonts w:asciiTheme="minorEastAsia" w:hAnsiTheme="minorEastAsia"/>
          <w:color w:val="auto"/>
          <w:highlight w:val="none"/>
        </w:rPr>
      </w:pPr>
      <w:bookmarkStart w:id="508" w:name="_Toc21509"/>
      <w:bookmarkStart w:id="509" w:name="_Toc104818930"/>
      <w:r>
        <w:rPr>
          <w:rFonts w:asciiTheme="minorEastAsia" w:hAnsiTheme="minorEastAsia"/>
          <w:color w:val="auto"/>
          <w:highlight w:val="none"/>
        </w:rPr>
        <w:t>第六章</w:t>
      </w:r>
      <w:r>
        <w:rPr>
          <w:rFonts w:hint="eastAsia" w:asciiTheme="minorEastAsia" w:hAnsiTheme="minorEastAsia"/>
          <w:color w:val="auto"/>
          <w:highlight w:val="none"/>
        </w:rPr>
        <w:t xml:space="preserve"> </w:t>
      </w:r>
      <w:r>
        <w:rPr>
          <w:rFonts w:asciiTheme="minorEastAsia" w:hAnsiTheme="minorEastAsia"/>
          <w:color w:val="auto"/>
          <w:highlight w:val="none"/>
        </w:rPr>
        <w:t>响应文件格式</w:t>
      </w:r>
      <w:bookmarkEnd w:id="508"/>
      <w:bookmarkEnd w:id="509"/>
    </w:p>
    <w:p w14:paraId="2E60ECAF">
      <w:pPr>
        <w:spacing w:line="360" w:lineRule="auto"/>
        <w:ind w:firstLine="482" w:firstLineChars="200"/>
        <w:contextualSpacing/>
        <w:jc w:val="center"/>
        <w:rPr>
          <w:rFonts w:asciiTheme="minorEastAsia" w:hAnsiTheme="minorEastAsia"/>
          <w:b/>
          <w:bCs/>
          <w:color w:val="auto"/>
          <w:sz w:val="24"/>
          <w:highlight w:val="none"/>
        </w:rPr>
      </w:pPr>
      <w:r>
        <w:rPr>
          <w:rFonts w:hint="eastAsia" w:asciiTheme="minorEastAsia" w:hAnsiTheme="minorEastAsia"/>
          <w:b/>
          <w:bCs/>
          <w:color w:val="auto"/>
          <w:sz w:val="24"/>
          <w:highlight w:val="none"/>
        </w:rPr>
        <w:t>供应商编制文件须知：</w:t>
      </w:r>
    </w:p>
    <w:p w14:paraId="0D11D6D9">
      <w:pPr>
        <w:spacing w:line="360" w:lineRule="auto"/>
        <w:ind w:firstLine="480" w:firstLineChars="200"/>
        <w:contextualSpacing/>
        <w:jc w:val="left"/>
        <w:rPr>
          <w:rFonts w:ascii="宋体" w:hAnsi="宋体" w:eastAsia="宋体" w:cs="Times New Roman"/>
          <w:bCs/>
          <w:color w:val="auto"/>
          <w:sz w:val="24"/>
          <w:highlight w:val="none"/>
        </w:rPr>
      </w:pPr>
      <w:r>
        <w:rPr>
          <w:rFonts w:ascii="宋体" w:hAnsi="宋体" w:eastAsia="宋体" w:cs="Times New Roman"/>
          <w:bCs/>
          <w:color w:val="auto"/>
          <w:sz w:val="24"/>
          <w:highlight w:val="none"/>
        </w:rPr>
        <w:t>1、供应商按照本部分的顺序编制响应文件，编制中涉及格式资料的，应按照本部分提供的内容和格式（所有表格的格式可扩展）填写提交。</w:t>
      </w:r>
    </w:p>
    <w:p w14:paraId="14CBE36E">
      <w:pPr>
        <w:spacing w:line="360" w:lineRule="auto"/>
        <w:ind w:firstLine="480" w:firstLineChars="200"/>
        <w:contextualSpacing/>
        <w:jc w:val="left"/>
        <w:rPr>
          <w:rFonts w:ascii="宋体" w:hAnsi="宋体" w:eastAsia="宋体" w:cs="Times New Roman"/>
          <w:bCs/>
          <w:color w:val="auto"/>
          <w:sz w:val="24"/>
          <w:highlight w:val="none"/>
        </w:rPr>
      </w:pPr>
      <w:r>
        <w:rPr>
          <w:rFonts w:ascii="宋体" w:hAnsi="宋体" w:eastAsia="宋体" w:cs="Times New Roman"/>
          <w:bCs/>
          <w:color w:val="auto"/>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b/>
          <w:bCs/>
          <w:color w:val="auto"/>
          <w:sz w:val="24"/>
          <w:highlight w:val="none"/>
        </w:rPr>
        <w:t>否则响应无效</w:t>
      </w:r>
      <w:r>
        <w:rPr>
          <w:rFonts w:ascii="宋体" w:hAnsi="宋体" w:eastAsia="宋体" w:cs="Times New Roman"/>
          <w:bCs/>
          <w:color w:val="auto"/>
          <w:sz w:val="24"/>
          <w:highlight w:val="none"/>
        </w:rPr>
        <w:t>。未标记“实质性格式”的文件和竞争性磋商文件未提供格式的内容，可由供应商自行编写。</w:t>
      </w:r>
    </w:p>
    <w:p w14:paraId="3BD8EC13">
      <w:pPr>
        <w:spacing w:line="360" w:lineRule="auto"/>
        <w:ind w:firstLine="480" w:firstLineChars="200"/>
        <w:contextualSpacing/>
        <w:jc w:val="left"/>
        <w:rPr>
          <w:rFonts w:ascii="宋体" w:hAnsi="宋体" w:eastAsia="宋体" w:cs="Times New Roman"/>
          <w:bCs/>
          <w:color w:val="auto"/>
          <w:sz w:val="24"/>
          <w:highlight w:val="none"/>
        </w:rPr>
      </w:pPr>
      <w:r>
        <w:rPr>
          <w:rFonts w:ascii="宋体" w:hAnsi="宋体" w:eastAsia="宋体" w:cs="Times New Roman"/>
          <w:bCs/>
          <w:color w:val="auto"/>
          <w:sz w:val="24"/>
          <w:highlight w:val="none"/>
        </w:rPr>
        <w:t>3、全部声明和问题的回答及所附材料必须是真实的、准确的和完整的。</w:t>
      </w:r>
    </w:p>
    <w:p w14:paraId="495996DE">
      <w:pPr>
        <w:spacing w:line="360" w:lineRule="auto"/>
        <w:ind w:firstLine="480" w:firstLineChars="200"/>
        <w:contextualSpacing/>
        <w:jc w:val="left"/>
        <w:rPr>
          <w:rFonts w:asciiTheme="minorEastAsia" w:hAnsiTheme="minorEastAsia"/>
          <w:bCs/>
          <w:color w:val="auto"/>
          <w:sz w:val="24"/>
          <w:highlight w:val="none"/>
        </w:rPr>
        <w:sectPr>
          <w:pgSz w:w="11906" w:h="16838"/>
          <w:pgMar w:top="1440" w:right="1800" w:bottom="1440" w:left="1800" w:header="851" w:footer="992" w:gutter="0"/>
          <w:cols w:space="0" w:num="1"/>
          <w:docGrid w:type="lines" w:linePitch="312" w:charSpace="0"/>
        </w:sectPr>
      </w:pPr>
      <w:r>
        <w:rPr>
          <w:rFonts w:hint="eastAsia" w:ascii="宋体" w:hAnsi="宋体" w:eastAsia="宋体" w:cs="Times New Roman"/>
          <w:bCs/>
          <w:color w:val="auto"/>
          <w:sz w:val="24"/>
          <w:highlight w:val="none"/>
        </w:rPr>
        <w:t>4、实行电子化不见面交易方式的，加盖公章、签名等均通过</w:t>
      </w:r>
      <w:r>
        <w:rPr>
          <w:rFonts w:ascii="宋体" w:hAnsi="宋体" w:eastAsia="宋体" w:cs="Times New Roman"/>
          <w:bCs/>
          <w:color w:val="auto"/>
          <w:sz w:val="24"/>
          <w:highlight w:val="none"/>
        </w:rPr>
        <w:t>响应文件编制工具</w:t>
      </w:r>
      <w:r>
        <w:rPr>
          <w:rFonts w:hint="eastAsia" w:ascii="宋体" w:hAnsi="宋体" w:eastAsia="宋体" w:cs="Times New Roman"/>
          <w:bCs/>
          <w:color w:val="auto"/>
          <w:sz w:val="24"/>
          <w:highlight w:val="none"/>
        </w:rPr>
        <w:t>加盖电子公章、</w:t>
      </w:r>
      <w:r>
        <w:rPr>
          <w:rFonts w:ascii="宋体" w:hAnsi="宋体" w:eastAsia="宋体" w:cs="Times New Roman"/>
          <w:bCs/>
          <w:color w:val="auto"/>
          <w:sz w:val="24"/>
          <w:highlight w:val="none"/>
        </w:rPr>
        <w:t>签字</w:t>
      </w:r>
      <w:r>
        <w:rPr>
          <w:rFonts w:hint="eastAsia" w:ascii="宋体" w:hAnsi="宋体" w:eastAsia="宋体" w:cs="Times New Roman"/>
          <w:bCs/>
          <w:color w:val="auto"/>
          <w:sz w:val="24"/>
          <w:highlight w:val="none"/>
        </w:rPr>
        <w:t>、签章</w:t>
      </w:r>
      <w:r>
        <w:rPr>
          <w:rFonts w:ascii="宋体" w:hAnsi="宋体" w:eastAsia="宋体" w:cs="Times New Roman"/>
          <w:bCs/>
          <w:color w:val="auto"/>
          <w:sz w:val="24"/>
          <w:highlight w:val="none"/>
        </w:rPr>
        <w:t>或</w:t>
      </w:r>
      <w:r>
        <w:rPr>
          <w:rFonts w:hint="eastAsia" w:ascii="宋体" w:hAnsi="宋体" w:eastAsia="宋体" w:cs="Times New Roman"/>
          <w:bCs/>
          <w:color w:val="auto"/>
          <w:sz w:val="24"/>
          <w:highlight w:val="none"/>
        </w:rPr>
        <w:t>印鉴</w:t>
      </w:r>
      <w:r>
        <w:rPr>
          <w:rFonts w:hint="eastAsia" w:asciiTheme="minorEastAsia" w:hAnsiTheme="minorEastAsia"/>
          <w:bCs/>
          <w:color w:val="auto"/>
          <w:sz w:val="24"/>
          <w:highlight w:val="none"/>
        </w:rPr>
        <w:t>。</w:t>
      </w:r>
    </w:p>
    <w:p w14:paraId="14C7F1EE">
      <w:pPr>
        <w:spacing w:line="360" w:lineRule="auto"/>
        <w:jc w:val="left"/>
        <w:rPr>
          <w:rFonts w:asciiTheme="minorEastAsia" w:hAnsiTheme="minorEastAsia"/>
          <w:b/>
          <w:color w:val="auto"/>
          <w:sz w:val="24"/>
          <w:highlight w:val="none"/>
        </w:rPr>
      </w:pPr>
      <w:r>
        <w:rPr>
          <w:rFonts w:asciiTheme="minorEastAsia" w:hAnsiTheme="minorEastAsia"/>
          <w:b/>
          <w:color w:val="auto"/>
          <w:spacing w:val="20"/>
          <w:sz w:val="24"/>
          <w:highlight w:val="none"/>
        </w:rPr>
        <w:t>响应文件</w:t>
      </w:r>
      <w:r>
        <w:rPr>
          <w:rFonts w:asciiTheme="minorEastAsia" w:hAnsiTheme="minorEastAsia"/>
          <w:b/>
          <w:color w:val="auto"/>
          <w:sz w:val="24"/>
          <w:highlight w:val="none"/>
        </w:rPr>
        <w:t>封面（非实质性格式）</w:t>
      </w:r>
    </w:p>
    <w:p w14:paraId="735F629E">
      <w:pPr>
        <w:spacing w:line="360" w:lineRule="auto"/>
        <w:jc w:val="left"/>
        <w:rPr>
          <w:rFonts w:asciiTheme="minorEastAsia" w:hAnsiTheme="minorEastAsia"/>
          <w:b/>
          <w:color w:val="auto"/>
          <w:spacing w:val="60"/>
          <w:sz w:val="84"/>
          <w:szCs w:val="84"/>
          <w:highlight w:val="none"/>
        </w:rPr>
      </w:pPr>
    </w:p>
    <w:p w14:paraId="5B7EE320">
      <w:pPr>
        <w:spacing w:line="360" w:lineRule="auto"/>
        <w:jc w:val="left"/>
        <w:rPr>
          <w:rFonts w:asciiTheme="minorEastAsia" w:hAnsiTheme="minorEastAsia"/>
          <w:b/>
          <w:color w:val="auto"/>
          <w:spacing w:val="60"/>
          <w:sz w:val="84"/>
          <w:szCs w:val="84"/>
          <w:highlight w:val="none"/>
        </w:rPr>
      </w:pPr>
    </w:p>
    <w:p w14:paraId="201C7F62">
      <w:pPr>
        <w:spacing w:line="360" w:lineRule="auto"/>
        <w:jc w:val="left"/>
        <w:rPr>
          <w:rFonts w:asciiTheme="minorEastAsia" w:hAnsiTheme="minorEastAsia"/>
          <w:b/>
          <w:color w:val="auto"/>
          <w:spacing w:val="60"/>
          <w:sz w:val="84"/>
          <w:szCs w:val="84"/>
          <w:highlight w:val="none"/>
        </w:rPr>
      </w:pPr>
    </w:p>
    <w:p w14:paraId="754BF897">
      <w:pPr>
        <w:spacing w:line="360" w:lineRule="auto"/>
        <w:jc w:val="center"/>
        <w:rPr>
          <w:rFonts w:asciiTheme="minorEastAsia" w:hAnsiTheme="minorEastAsia"/>
          <w:b/>
          <w:color w:val="auto"/>
          <w:spacing w:val="60"/>
          <w:sz w:val="84"/>
          <w:szCs w:val="84"/>
          <w:highlight w:val="none"/>
        </w:rPr>
      </w:pPr>
      <w:r>
        <w:rPr>
          <w:rFonts w:asciiTheme="minorEastAsia" w:hAnsiTheme="minorEastAsia"/>
          <w:b/>
          <w:color w:val="auto"/>
          <w:spacing w:val="60"/>
          <w:sz w:val="84"/>
          <w:szCs w:val="84"/>
          <w:highlight w:val="none"/>
        </w:rPr>
        <w:t>响 应 文 件</w:t>
      </w:r>
    </w:p>
    <w:p w14:paraId="5E04F591">
      <w:pPr>
        <w:spacing w:line="360" w:lineRule="auto"/>
        <w:jc w:val="left"/>
        <w:rPr>
          <w:rFonts w:asciiTheme="minorEastAsia" w:hAnsiTheme="minorEastAsia"/>
          <w:b/>
          <w:color w:val="auto"/>
          <w:spacing w:val="60"/>
          <w:sz w:val="36"/>
          <w:szCs w:val="36"/>
          <w:highlight w:val="none"/>
        </w:rPr>
      </w:pPr>
    </w:p>
    <w:p w14:paraId="6F11E406">
      <w:pPr>
        <w:spacing w:line="360" w:lineRule="auto"/>
        <w:jc w:val="left"/>
        <w:rPr>
          <w:rFonts w:asciiTheme="minorEastAsia" w:hAnsiTheme="minorEastAsia"/>
          <w:b/>
          <w:color w:val="auto"/>
          <w:spacing w:val="60"/>
          <w:sz w:val="84"/>
          <w:szCs w:val="84"/>
          <w:highlight w:val="none"/>
        </w:rPr>
      </w:pPr>
    </w:p>
    <w:p w14:paraId="0B5FDB3A">
      <w:pPr>
        <w:spacing w:line="360" w:lineRule="auto"/>
        <w:jc w:val="left"/>
        <w:rPr>
          <w:rFonts w:asciiTheme="minorEastAsia" w:hAnsiTheme="minorEastAsia"/>
          <w:b/>
          <w:color w:val="auto"/>
          <w:spacing w:val="60"/>
          <w:sz w:val="84"/>
          <w:szCs w:val="84"/>
          <w:highlight w:val="none"/>
        </w:rPr>
      </w:pPr>
    </w:p>
    <w:p w14:paraId="55821DE1">
      <w:pPr>
        <w:ind w:firstLine="1084" w:firstLineChars="300"/>
        <w:jc w:val="left"/>
        <w:rPr>
          <w:rFonts w:asciiTheme="minorEastAsia" w:hAnsiTheme="minorEastAsia"/>
          <w:b/>
          <w:color w:val="auto"/>
          <w:sz w:val="36"/>
          <w:highlight w:val="none"/>
        </w:rPr>
      </w:pPr>
      <w:r>
        <w:rPr>
          <w:rFonts w:hint="eastAsia" w:asciiTheme="minorEastAsia" w:hAnsiTheme="minorEastAsia"/>
          <w:b/>
          <w:color w:val="auto"/>
          <w:sz w:val="36"/>
          <w:highlight w:val="none"/>
        </w:rPr>
        <w:t>项 目 名 称：</w:t>
      </w:r>
    </w:p>
    <w:p w14:paraId="7686C625">
      <w:pPr>
        <w:ind w:firstLine="1084" w:firstLineChars="300"/>
        <w:jc w:val="left"/>
        <w:rPr>
          <w:rFonts w:asciiTheme="minorEastAsia" w:hAnsiTheme="minorEastAsia"/>
          <w:b/>
          <w:color w:val="auto"/>
          <w:sz w:val="36"/>
          <w:highlight w:val="none"/>
          <w:u w:val="single"/>
        </w:rPr>
      </w:pPr>
      <w:r>
        <w:rPr>
          <w:rFonts w:hint="eastAsia" w:asciiTheme="minorEastAsia" w:hAnsiTheme="minorEastAsia"/>
          <w:b/>
          <w:color w:val="auto"/>
          <w:sz w:val="36"/>
          <w:highlight w:val="none"/>
        </w:rPr>
        <w:t>项 目 编 号：</w:t>
      </w:r>
    </w:p>
    <w:p w14:paraId="0669D23F">
      <w:pPr>
        <w:ind w:firstLine="1084" w:firstLineChars="300"/>
        <w:jc w:val="left"/>
        <w:rPr>
          <w:rFonts w:asciiTheme="minorEastAsia" w:hAnsiTheme="minorEastAsia"/>
          <w:b/>
          <w:color w:val="auto"/>
          <w:sz w:val="36"/>
          <w:highlight w:val="none"/>
        </w:rPr>
      </w:pPr>
      <w:r>
        <w:rPr>
          <w:rFonts w:hint="eastAsia" w:asciiTheme="minorEastAsia" w:hAnsiTheme="minorEastAsia"/>
          <w:b/>
          <w:color w:val="auto"/>
          <w:sz w:val="36"/>
          <w:highlight w:val="none"/>
        </w:rPr>
        <w:t>供应商名称 ：</w:t>
      </w:r>
    </w:p>
    <w:p w14:paraId="6DFE5A31">
      <w:pPr>
        <w:ind w:firstLine="1084" w:firstLineChars="300"/>
        <w:jc w:val="left"/>
        <w:rPr>
          <w:rFonts w:asciiTheme="minorEastAsia" w:hAnsiTheme="minorEastAsia"/>
          <w:b/>
          <w:color w:val="auto"/>
          <w:sz w:val="36"/>
          <w:highlight w:val="none"/>
          <w:u w:val="single"/>
        </w:rPr>
      </w:pPr>
      <w:r>
        <w:rPr>
          <w:rFonts w:hint="eastAsia" w:asciiTheme="minorEastAsia" w:hAnsiTheme="minorEastAsia"/>
          <w:b/>
          <w:color w:val="auto"/>
          <w:sz w:val="36"/>
          <w:highlight w:val="none"/>
        </w:rPr>
        <w:t>日      期 ：</w:t>
      </w:r>
    </w:p>
    <w:p w14:paraId="17CDFDF6">
      <w:pPr>
        <w:jc w:val="left"/>
        <w:rPr>
          <w:rFonts w:asciiTheme="minorEastAsia" w:hAnsiTheme="minorEastAsia"/>
          <w:b/>
          <w:color w:val="auto"/>
          <w:sz w:val="36"/>
          <w:highlight w:val="none"/>
        </w:rPr>
        <w:sectPr>
          <w:pgSz w:w="11906" w:h="16838"/>
          <w:pgMar w:top="1440" w:right="1800" w:bottom="1440" w:left="1800" w:header="851" w:footer="992" w:gutter="0"/>
          <w:cols w:space="0" w:num="1"/>
          <w:docGrid w:type="lines" w:linePitch="312" w:charSpace="0"/>
        </w:sectPr>
      </w:pPr>
    </w:p>
    <w:p w14:paraId="582E9F87">
      <w:pPr>
        <w:spacing w:line="360" w:lineRule="auto"/>
        <w:ind w:left="267" w:hanging="267"/>
        <w:outlineLvl w:val="2"/>
        <w:rPr>
          <w:rFonts w:asciiTheme="minorEastAsia" w:hAnsiTheme="minorEastAsia"/>
          <w:color w:val="auto"/>
          <w:sz w:val="24"/>
          <w:szCs w:val="20"/>
          <w:highlight w:val="none"/>
        </w:rPr>
      </w:pPr>
      <w:bookmarkStart w:id="510" w:name="_Hlk148960212"/>
      <w:r>
        <w:rPr>
          <w:rFonts w:hint="eastAsia" w:ascii="宋体" w:hAnsi="宋体" w:cs="宋体"/>
          <w:b/>
          <w:color w:val="auto"/>
          <w:sz w:val="28"/>
          <w:szCs w:val="28"/>
          <w:highlight w:val="none"/>
        </w:rPr>
        <w:t>一、资格证明文件</w:t>
      </w:r>
    </w:p>
    <w:p w14:paraId="569A35D5">
      <w:pPr>
        <w:spacing w:line="360" w:lineRule="auto"/>
        <w:jc w:val="left"/>
        <w:outlineLvl w:val="2"/>
        <w:rPr>
          <w:rFonts w:asciiTheme="minorEastAsia" w:hAnsiTheme="minorEastAsia"/>
          <w:color w:val="auto"/>
          <w:sz w:val="24"/>
          <w:szCs w:val="20"/>
          <w:highlight w:val="none"/>
        </w:rPr>
      </w:pPr>
      <w:r>
        <w:rPr>
          <w:rFonts w:asciiTheme="minorEastAsia" w:hAnsiTheme="minorEastAsia"/>
          <w:color w:val="auto"/>
          <w:sz w:val="24"/>
          <w:szCs w:val="20"/>
          <w:highlight w:val="none"/>
        </w:rPr>
        <w:t xml:space="preserve">1 </w:t>
      </w:r>
      <w:r>
        <w:rPr>
          <w:rFonts w:asciiTheme="minorEastAsia" w:hAnsiTheme="minorEastAsia"/>
          <w:color w:val="auto"/>
          <w:sz w:val="24"/>
          <w:highlight w:val="none"/>
        </w:rPr>
        <w:t>满足《中华人民共和国政府采购法》第二十二条规定及法律法规的其他规定</w:t>
      </w:r>
    </w:p>
    <w:p w14:paraId="6BBFC5B8">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1-</w:t>
      </w:r>
      <w:r>
        <w:rPr>
          <w:rFonts w:hint="eastAsia" w:asciiTheme="minorEastAsia" w:hAnsiTheme="minorEastAsia"/>
          <w:bCs/>
          <w:color w:val="auto"/>
          <w:sz w:val="24"/>
          <w:highlight w:val="none"/>
        </w:rPr>
        <w:t>1</w:t>
      </w:r>
      <w:r>
        <w:rPr>
          <w:rFonts w:asciiTheme="minorEastAsia" w:hAnsiTheme="minorEastAsia"/>
          <w:bCs/>
          <w:color w:val="auto"/>
          <w:sz w:val="24"/>
          <w:highlight w:val="none"/>
        </w:rPr>
        <w:t xml:space="preserve"> 供应商资格声明</w:t>
      </w:r>
      <w:r>
        <w:rPr>
          <w:rFonts w:hint="eastAsia" w:asciiTheme="minorEastAsia" w:hAnsiTheme="minorEastAsia"/>
          <w:bCs/>
          <w:color w:val="auto"/>
          <w:sz w:val="24"/>
          <w:highlight w:val="none"/>
        </w:rPr>
        <w:t>函</w:t>
      </w:r>
      <w:r>
        <w:rPr>
          <w:rFonts w:asciiTheme="minorEastAsia" w:hAnsiTheme="minorEastAsia"/>
          <w:bCs/>
          <w:color w:val="auto"/>
          <w:sz w:val="24"/>
          <w:highlight w:val="none"/>
        </w:rPr>
        <w:t>（实质性格式）</w:t>
      </w:r>
    </w:p>
    <w:p w14:paraId="360CDBE3">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供应商资格声明函</w:t>
      </w:r>
    </w:p>
    <w:p w14:paraId="386B4A4D">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致：常州金诚招投标有限公司</w:t>
      </w:r>
    </w:p>
    <w:p w14:paraId="4F8FAED3">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（采购人名称）</w:t>
      </w:r>
    </w:p>
    <w:p w14:paraId="6E890B03">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按照《中华人民共和国政府采购法》第二十二条和磋商文件的规定，我单位郑重声明如下：</w:t>
      </w:r>
    </w:p>
    <w:p w14:paraId="0D829926">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一、我单位是按照中华人民共和国法律规定登记注册的，注册地点为</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rPr>
        <w:t>，全称为</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rPr>
        <w:t>，统一社会信用代码为</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rPr>
        <w:t>，法定代表人（单位负责人）为</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rPr>
        <w:t>，具有独立承担民事责任的能力（如属于分公司经总公司授权参与项目，由总公司承担民事责任的，需提供总公司项目授权书）。</w:t>
      </w:r>
    </w:p>
    <w:p w14:paraId="4D2F7AF3">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二、我单位未被“国家企业信用信息系统”列入经营异常名录或者严重违法企业名单。</w:t>
      </w:r>
    </w:p>
    <w:p w14:paraId="055804FF">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三、我单位具有良好的商业信誉（指供应商经营状况良好，无本资格声明第十条情形）和健全的财务会计制度。</w:t>
      </w:r>
    </w:p>
    <w:p w14:paraId="2832DD5E">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四、我单位依法进行纳税和社会保险申报并实际履行了义务。</w:t>
      </w:r>
    </w:p>
    <w:p w14:paraId="7640E829">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五、我单位具有履行本项目采购合同所必需的设备和专业技术能力，并具有履行合同的良好</w:t>
      </w:r>
      <w:r>
        <w:rPr>
          <w:rFonts w:asciiTheme="minorEastAsia" w:hAnsiTheme="minorEastAsia"/>
          <w:bCs/>
          <w:color w:val="auto"/>
          <w:sz w:val="24"/>
          <w:highlight w:val="none"/>
        </w:rPr>
        <w:t>记录</w:t>
      </w:r>
      <w:r>
        <w:rPr>
          <w:rFonts w:hint="eastAsia" w:asciiTheme="minorEastAsia" w:hAnsiTheme="minorEastAsia"/>
          <w:bCs/>
          <w:color w:val="auto"/>
          <w:sz w:val="24"/>
          <w:highlight w:val="none"/>
        </w:rPr>
        <w:t>。为履行本项采购合同我单位具备如下主要设备和主要专业技术能力：</w:t>
      </w:r>
    </w:p>
    <w:p w14:paraId="47487ADD">
      <w:pPr>
        <w:spacing w:line="360" w:lineRule="auto"/>
        <w:ind w:firstLine="480" w:firstLineChars="200"/>
        <w:contextualSpacing/>
        <w:jc w:val="left"/>
        <w:rPr>
          <w:rFonts w:asciiTheme="minorEastAsia" w:hAnsiTheme="minorEastAsia"/>
          <w:bCs/>
          <w:color w:val="auto"/>
          <w:sz w:val="24"/>
          <w:highlight w:val="none"/>
          <w:u w:val="single"/>
        </w:rPr>
      </w:pPr>
      <w:r>
        <w:rPr>
          <w:rFonts w:hint="eastAsia" w:asciiTheme="minorEastAsia" w:hAnsiTheme="minorEastAsia"/>
          <w:bCs/>
          <w:color w:val="auto"/>
          <w:sz w:val="24"/>
          <w:highlight w:val="none"/>
        </w:rPr>
        <w:t>主要设备有：</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p>
    <w:p w14:paraId="64F19D32">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主要专业技术能力有：</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p>
    <w:p w14:paraId="10A61FE2">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5C80B2AF">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七、我单位具备法律、行政法规规定的其他条件。</w:t>
      </w:r>
    </w:p>
    <w:p w14:paraId="6A482357">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八、与我单位存在“单位负责人为同一人或者存在直接控股、管理关系”的其他单位信息如下（如无此情形的，填写“无”）：</w:t>
      </w:r>
    </w:p>
    <w:p w14:paraId="27F0F244">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1、与我单位的法定代表人（单位负责人）为同一人的其他单位如下：</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p>
    <w:p w14:paraId="3505F4A3">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2、我单位直接控股的其他单位如下：</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p>
    <w:p w14:paraId="09BB3250">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3、与我单位存在管理关系的其他单位如下：</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r>
        <w:rPr>
          <w:rFonts w:hint="eastAsia" w:asciiTheme="minorEastAsia" w:hAnsiTheme="minorEastAsia"/>
          <w:bCs/>
          <w:color w:val="auto"/>
          <w:sz w:val="24"/>
          <w:highlight w:val="none"/>
          <w:u w:val="single"/>
        </w:rPr>
        <w:t xml:space="preserve"> </w:t>
      </w:r>
      <w:r>
        <w:rPr>
          <w:rFonts w:asciiTheme="minorEastAsia" w:hAnsiTheme="minorEastAsia"/>
          <w:bCs/>
          <w:color w:val="auto"/>
          <w:sz w:val="24"/>
          <w:highlight w:val="none"/>
          <w:u w:val="single"/>
        </w:rPr>
        <w:t xml:space="preserve"> </w:t>
      </w:r>
    </w:p>
    <w:p w14:paraId="670138EE">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九、</w:t>
      </w:r>
      <w:r>
        <w:rPr>
          <w:rFonts w:asciiTheme="minorEastAsia" w:hAnsiTheme="minorEastAsia"/>
          <w:bCs/>
          <w:color w:val="auto"/>
          <w:sz w:val="24"/>
          <w:highlight w:val="none"/>
        </w:rPr>
        <w:t>我</w:t>
      </w:r>
      <w:r>
        <w:rPr>
          <w:rFonts w:hint="eastAsia" w:asciiTheme="minorEastAsia" w:hAnsiTheme="minorEastAsia"/>
          <w:bCs/>
          <w:color w:val="auto"/>
          <w:sz w:val="24"/>
          <w:highlight w:val="none"/>
        </w:rPr>
        <w:t>单位</w:t>
      </w:r>
      <w:r>
        <w:rPr>
          <w:rFonts w:asciiTheme="minorEastAsia" w:hAnsiTheme="minorEastAsia"/>
          <w:bCs/>
          <w:color w:val="auto"/>
          <w:sz w:val="24"/>
          <w:highlight w:val="none"/>
        </w:rPr>
        <w:t>不属于为本项目提供整体设计、规范编制或者项目管理、监理、检测等服务的供应商。</w:t>
      </w:r>
    </w:p>
    <w:p w14:paraId="04775AE9">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十、</w:t>
      </w:r>
      <w:r>
        <w:rPr>
          <w:rFonts w:asciiTheme="minorEastAsia" w:hAnsiTheme="minorEastAsia"/>
          <w:bCs/>
          <w:color w:val="auto"/>
          <w:sz w:val="24"/>
          <w:highlight w:val="none"/>
        </w:rPr>
        <w:t>我单位无以下不良信用记录情形：</w:t>
      </w:r>
    </w:p>
    <w:p w14:paraId="0F0B37B6">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1</w:t>
      </w:r>
      <w:r>
        <w:rPr>
          <w:rFonts w:hint="eastAsia" w:asciiTheme="minorEastAsia" w:hAnsiTheme="minorEastAsia"/>
          <w:bCs/>
          <w:color w:val="auto"/>
          <w:sz w:val="24"/>
          <w:highlight w:val="none"/>
        </w:rPr>
        <w:t>、在“信用中国”网站被列入失信被执行人和重大税收违法案件当事人名单；</w:t>
      </w:r>
    </w:p>
    <w:p w14:paraId="5859F923">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2</w:t>
      </w:r>
      <w:r>
        <w:rPr>
          <w:rFonts w:hint="eastAsia" w:asciiTheme="minorEastAsia" w:hAnsiTheme="minorEastAsia"/>
          <w:bCs/>
          <w:color w:val="auto"/>
          <w:sz w:val="24"/>
          <w:highlight w:val="none"/>
        </w:rPr>
        <w:t>、在“中国政府采购网”网站被列入政府采购严重违法失信行为记录名单；</w:t>
      </w:r>
    </w:p>
    <w:p w14:paraId="7D039A84">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3</w:t>
      </w:r>
      <w:r>
        <w:rPr>
          <w:rFonts w:hint="eastAsia" w:asciiTheme="minorEastAsia" w:hAnsiTheme="minorEastAsia"/>
          <w:bCs/>
          <w:color w:val="auto"/>
          <w:sz w:val="24"/>
          <w:highlight w:val="none"/>
        </w:rPr>
        <w:t>、</w:t>
      </w:r>
      <w:r>
        <w:rPr>
          <w:rFonts w:asciiTheme="minorEastAsia" w:hAnsiTheme="minorEastAsia"/>
          <w:bCs/>
          <w:color w:val="auto"/>
          <w:sz w:val="24"/>
          <w:highlight w:val="none"/>
        </w:rPr>
        <w:t>不符合《政府采购法》第二十二条规定的条件。</w:t>
      </w:r>
    </w:p>
    <w:p w14:paraId="3D8CD3D0">
      <w:pPr>
        <w:spacing w:line="360" w:lineRule="auto"/>
        <w:ind w:firstLine="480" w:firstLineChars="200"/>
        <w:contextualSpacing/>
        <w:jc w:val="left"/>
        <w:rPr>
          <w:rFonts w:asciiTheme="minorEastAsia" w:hAnsiTheme="minorEastAsia"/>
          <w:bCs/>
          <w:color w:val="auto"/>
          <w:sz w:val="24"/>
          <w:highlight w:val="none"/>
        </w:rPr>
      </w:pPr>
    </w:p>
    <w:p w14:paraId="29AF93B2">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我单位保证上述声明的事项都是真实的，如有虚假，我单位愿意承担相应的法律责任，并承担因此所造成的一切损失。</w:t>
      </w:r>
    </w:p>
    <w:p w14:paraId="74BF0BDF">
      <w:pPr>
        <w:spacing w:line="360" w:lineRule="auto"/>
        <w:ind w:firstLine="480" w:firstLineChars="200"/>
        <w:contextualSpacing/>
        <w:jc w:val="left"/>
        <w:rPr>
          <w:rFonts w:asciiTheme="minorEastAsia" w:hAnsiTheme="minorEastAsia"/>
          <w:bCs/>
          <w:color w:val="auto"/>
          <w:sz w:val="24"/>
          <w:highlight w:val="none"/>
        </w:rPr>
      </w:pPr>
    </w:p>
    <w:p w14:paraId="531285A0">
      <w:pPr>
        <w:spacing w:line="360" w:lineRule="auto"/>
        <w:ind w:firstLine="480" w:firstLineChars="200"/>
        <w:contextualSpacing/>
        <w:jc w:val="left"/>
        <w:rPr>
          <w:rFonts w:asciiTheme="minorEastAsia" w:hAnsiTheme="minorEastAsia"/>
          <w:bCs/>
          <w:color w:val="auto"/>
          <w:sz w:val="24"/>
          <w:highlight w:val="none"/>
        </w:rPr>
      </w:pPr>
    </w:p>
    <w:p w14:paraId="4A1A2ECA">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供应商：（加盖公章）</w:t>
      </w:r>
    </w:p>
    <w:p w14:paraId="2E55B77E">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法定代表人（或单位负责人）签字或盖章：</w:t>
      </w:r>
    </w:p>
    <w:p w14:paraId="3F791A32">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日期：    年    月    日</w:t>
      </w:r>
    </w:p>
    <w:p w14:paraId="54D2C897">
      <w:pPr>
        <w:spacing w:line="360" w:lineRule="auto"/>
        <w:ind w:firstLine="480" w:firstLineChars="200"/>
        <w:contextualSpacing/>
        <w:jc w:val="left"/>
        <w:rPr>
          <w:rFonts w:asciiTheme="minorEastAsia" w:hAnsiTheme="minorEastAsia"/>
          <w:bCs/>
          <w:color w:val="auto"/>
          <w:sz w:val="24"/>
          <w:highlight w:val="none"/>
        </w:rPr>
      </w:pPr>
    </w:p>
    <w:p w14:paraId="6827E69D">
      <w:pPr>
        <w:spacing w:line="360" w:lineRule="auto"/>
        <w:ind w:firstLine="480" w:firstLineChars="200"/>
        <w:contextualSpacing/>
        <w:jc w:val="left"/>
        <w:rPr>
          <w:rFonts w:asciiTheme="minorEastAsia" w:hAnsiTheme="minorEastAsia"/>
          <w:bCs/>
          <w:color w:val="auto"/>
          <w:sz w:val="24"/>
          <w:highlight w:val="none"/>
        </w:rPr>
        <w:sectPr>
          <w:pgSz w:w="11906" w:h="16838"/>
          <w:pgMar w:top="1440" w:right="1800" w:bottom="1440" w:left="1800" w:header="851" w:footer="992" w:gutter="0"/>
          <w:cols w:space="0" w:num="1"/>
          <w:docGrid w:type="lines" w:linePitch="312" w:charSpace="0"/>
        </w:sectPr>
      </w:pPr>
      <w:r>
        <w:rPr>
          <w:rFonts w:asciiTheme="minorEastAsia" w:hAnsiTheme="minorEastAsia"/>
          <w:bCs/>
          <w:color w:val="auto"/>
          <w:sz w:val="24"/>
          <w:highlight w:val="none"/>
        </w:rPr>
        <w:t>说明：</w:t>
      </w:r>
      <w:r>
        <w:rPr>
          <w:rFonts w:hint="eastAsia" w:asciiTheme="minorEastAsia" w:hAnsiTheme="minorEastAsia"/>
          <w:bCs/>
          <w:color w:val="auto"/>
          <w:sz w:val="24"/>
          <w:highlight w:val="none"/>
        </w:rPr>
        <w:t>供应商承诺不实的，依据《政府采购法》第七十七条“提供虚假材料谋取中标、成交的”有关规定予以处理</w:t>
      </w:r>
      <w:r>
        <w:rPr>
          <w:rFonts w:asciiTheme="minorEastAsia" w:hAnsiTheme="minorEastAsia"/>
          <w:bCs/>
          <w:color w:val="auto"/>
          <w:sz w:val="24"/>
          <w:highlight w:val="none"/>
        </w:rPr>
        <w:t>。</w:t>
      </w:r>
    </w:p>
    <w:bookmarkEnd w:id="510"/>
    <w:p w14:paraId="2AC0A31A">
      <w:pPr>
        <w:widowControl/>
        <w:spacing w:line="360" w:lineRule="auto"/>
        <w:jc w:val="left"/>
        <w:rPr>
          <w:rFonts w:asciiTheme="minorEastAsia" w:hAnsiTheme="minorEastAsia"/>
          <w:color w:val="auto"/>
          <w:sz w:val="24"/>
          <w:szCs w:val="20"/>
          <w:highlight w:val="none"/>
        </w:rPr>
      </w:pPr>
      <w:bookmarkStart w:id="511" w:name="_Hlk148960232"/>
      <w:r>
        <w:rPr>
          <w:rFonts w:asciiTheme="minorEastAsia" w:hAnsiTheme="minorEastAsia"/>
          <w:color w:val="auto"/>
          <w:sz w:val="24"/>
          <w:szCs w:val="20"/>
          <w:highlight w:val="none"/>
        </w:rPr>
        <w:t>1-2</w:t>
      </w:r>
      <w:r>
        <w:rPr>
          <w:rFonts w:hint="eastAsia" w:asciiTheme="minorEastAsia" w:hAnsiTheme="minorEastAsia"/>
          <w:color w:val="auto"/>
          <w:sz w:val="24"/>
          <w:szCs w:val="20"/>
          <w:highlight w:val="none"/>
        </w:rPr>
        <w:t>营业执照（实质性格式）</w:t>
      </w:r>
    </w:p>
    <w:p w14:paraId="4151FE22">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供应商为法人或者其他组织的提供营业执照等证明文件扫描件加盖公章，供应商为自然人的提供营业执照（如有）及身份证明扫描件加盖公章（双面）。</w:t>
      </w:r>
    </w:p>
    <w:bookmarkEnd w:id="511"/>
    <w:p w14:paraId="696D714E">
      <w:pPr>
        <w:spacing w:line="360" w:lineRule="auto"/>
        <w:ind w:firstLine="480" w:firstLineChars="200"/>
        <w:contextualSpacing/>
        <w:jc w:val="left"/>
        <w:rPr>
          <w:rFonts w:asciiTheme="minorEastAsia" w:hAnsiTheme="minorEastAsia"/>
          <w:bCs/>
          <w:color w:val="auto"/>
          <w:sz w:val="24"/>
          <w:highlight w:val="none"/>
        </w:rPr>
        <w:sectPr>
          <w:pgSz w:w="11906" w:h="16838"/>
          <w:pgMar w:top="1440" w:right="1800" w:bottom="1440" w:left="1800" w:header="851" w:footer="992" w:gutter="0"/>
          <w:cols w:space="0" w:num="1"/>
          <w:docGrid w:type="lines" w:linePitch="312" w:charSpace="0"/>
        </w:sectPr>
      </w:pPr>
    </w:p>
    <w:p w14:paraId="54951198">
      <w:pPr>
        <w:rPr>
          <w:rFonts w:ascii="宋体" w:hAnsi="宋体" w:cs="宋体"/>
          <w:color w:val="auto"/>
          <w:sz w:val="28"/>
          <w:szCs w:val="28"/>
          <w:highlight w:val="none"/>
        </w:rPr>
      </w:pPr>
      <w:bookmarkStart w:id="512" w:name="_Hlk148960334"/>
      <w:r>
        <w:rPr>
          <w:rFonts w:hint="eastAsia" w:ascii="宋体" w:hAnsi="宋体" w:cs="宋体"/>
          <w:b/>
          <w:color w:val="auto"/>
          <w:sz w:val="28"/>
          <w:szCs w:val="28"/>
          <w:highlight w:val="none"/>
        </w:rPr>
        <w:t>二、商务技术文件格式</w:t>
      </w:r>
    </w:p>
    <w:p w14:paraId="309AC008">
      <w:pPr>
        <w:spacing w:line="360" w:lineRule="auto"/>
        <w:jc w:val="left"/>
        <w:outlineLvl w:val="2"/>
        <w:rPr>
          <w:rFonts w:asciiTheme="minorEastAsia" w:hAnsiTheme="minorEastAsia"/>
          <w:color w:val="auto"/>
          <w:sz w:val="24"/>
          <w:szCs w:val="20"/>
          <w:highlight w:val="none"/>
        </w:rPr>
      </w:pPr>
      <w:r>
        <w:rPr>
          <w:rFonts w:hint="eastAsia" w:asciiTheme="minorEastAsia" w:hAnsiTheme="minorEastAsia"/>
          <w:color w:val="auto"/>
          <w:sz w:val="24"/>
          <w:highlight w:val="none"/>
        </w:rPr>
        <w:t>1</w:t>
      </w:r>
      <w:r>
        <w:rPr>
          <w:rFonts w:asciiTheme="minorEastAsia" w:hAnsiTheme="minorEastAsia"/>
          <w:color w:val="auto"/>
          <w:sz w:val="24"/>
          <w:highlight w:val="none"/>
        </w:rPr>
        <w:t>响应</w:t>
      </w:r>
      <w:r>
        <w:rPr>
          <w:rFonts w:hint="eastAsia" w:asciiTheme="minorEastAsia" w:hAnsiTheme="minorEastAsia"/>
          <w:color w:val="auto"/>
          <w:sz w:val="24"/>
          <w:highlight w:val="none"/>
        </w:rPr>
        <w:t>函</w:t>
      </w:r>
      <w:r>
        <w:rPr>
          <w:rFonts w:asciiTheme="minorEastAsia" w:hAnsiTheme="minorEastAsia"/>
          <w:color w:val="auto"/>
          <w:sz w:val="24"/>
          <w:highlight w:val="none"/>
        </w:rPr>
        <w:t>（实质</w:t>
      </w:r>
      <w:r>
        <w:rPr>
          <w:rFonts w:asciiTheme="minorEastAsia" w:hAnsiTheme="minorEastAsia"/>
          <w:color w:val="auto"/>
          <w:sz w:val="24"/>
          <w:szCs w:val="20"/>
          <w:highlight w:val="none"/>
        </w:rPr>
        <w:t>性格式）</w:t>
      </w:r>
    </w:p>
    <w:p w14:paraId="080E8830">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响应函</w:t>
      </w:r>
    </w:p>
    <w:p w14:paraId="145925B9">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致：</w:t>
      </w:r>
      <w:r>
        <w:rPr>
          <w:rFonts w:hint="eastAsia" w:asciiTheme="minorEastAsia" w:hAnsiTheme="minorEastAsia"/>
          <w:bCs/>
          <w:color w:val="auto"/>
          <w:sz w:val="24"/>
          <w:highlight w:val="none"/>
        </w:rPr>
        <w:t>常州金诚招投标有限公司</w:t>
      </w:r>
    </w:p>
    <w:p w14:paraId="5E66E843">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（采购人</w:t>
      </w:r>
      <w:r>
        <w:rPr>
          <w:rFonts w:hint="eastAsia" w:asciiTheme="minorEastAsia" w:hAnsiTheme="minorEastAsia"/>
          <w:bCs/>
          <w:color w:val="auto"/>
          <w:sz w:val="24"/>
          <w:highlight w:val="none"/>
        </w:rPr>
        <w:t>名称</w:t>
      </w:r>
      <w:r>
        <w:rPr>
          <w:rFonts w:asciiTheme="minorEastAsia" w:hAnsiTheme="minorEastAsia"/>
          <w:bCs/>
          <w:color w:val="auto"/>
          <w:sz w:val="24"/>
          <w:highlight w:val="none"/>
        </w:rPr>
        <w:t>）</w:t>
      </w:r>
    </w:p>
    <w:p w14:paraId="0FA8E6E6">
      <w:pPr>
        <w:spacing w:line="360" w:lineRule="auto"/>
        <w:ind w:firstLine="480" w:firstLineChars="200"/>
        <w:contextualSpacing/>
        <w:jc w:val="left"/>
        <w:rPr>
          <w:rFonts w:asciiTheme="minorEastAsia" w:hAnsiTheme="minorEastAsia"/>
          <w:bCs/>
          <w:color w:val="auto"/>
          <w:sz w:val="24"/>
          <w:highlight w:val="none"/>
        </w:rPr>
      </w:pPr>
    </w:p>
    <w:p w14:paraId="15EA90A7">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我方参加你方就___________（项目名称，项目编号/包号）组织的</w:t>
      </w:r>
      <w:r>
        <w:rPr>
          <w:rFonts w:hint="eastAsia" w:asciiTheme="minorEastAsia" w:hAnsiTheme="minorEastAsia"/>
          <w:bCs/>
          <w:color w:val="auto"/>
          <w:sz w:val="24"/>
          <w:highlight w:val="none"/>
        </w:rPr>
        <w:t>政府采购</w:t>
      </w:r>
      <w:r>
        <w:rPr>
          <w:rFonts w:asciiTheme="minorEastAsia" w:hAnsiTheme="minorEastAsia"/>
          <w:bCs/>
          <w:color w:val="auto"/>
          <w:sz w:val="24"/>
          <w:highlight w:val="none"/>
        </w:rPr>
        <w:t>活动，并对此项目进行响应。</w:t>
      </w:r>
    </w:p>
    <w:p w14:paraId="2726F703">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1. 我方已详细审查全部磋商文件，自愿参与响应并承诺如下：</w:t>
      </w:r>
    </w:p>
    <w:p w14:paraId="5A1F0FF0">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（1）本响应有效期为自提交响应文件的截止之日起</w:t>
      </w:r>
      <w:r>
        <w:rPr>
          <w:rFonts w:hint="eastAsia" w:asciiTheme="minorEastAsia" w:hAnsiTheme="minorEastAsia"/>
          <w:bCs/>
          <w:color w:val="auto"/>
          <w:sz w:val="24"/>
          <w:highlight w:val="none"/>
        </w:rPr>
        <w:t>60</w:t>
      </w:r>
      <w:r>
        <w:rPr>
          <w:rFonts w:asciiTheme="minorEastAsia" w:hAnsiTheme="minorEastAsia"/>
          <w:bCs/>
          <w:color w:val="auto"/>
          <w:sz w:val="24"/>
          <w:highlight w:val="none"/>
        </w:rPr>
        <w:t>个日历日。</w:t>
      </w:r>
    </w:p>
    <w:p w14:paraId="36F1CCF1">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（2）除合同条款及采购需求偏离表列出的偏离外，我方响应磋商文件的全部要求。</w:t>
      </w:r>
    </w:p>
    <w:p w14:paraId="0A0E5CBC">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（3）我方已提供的全部文件资料是真实、准确的，并对此承担一切法律后果。</w:t>
      </w:r>
    </w:p>
    <w:p w14:paraId="0DECBE3B">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（4）如我方中标，我方将在法律规定的期限内与你方签订合同，按照磋商文件要求提交履约保证金，并在合同约定的期限内完成合同规定的全部义务。</w:t>
      </w:r>
    </w:p>
    <w:p w14:paraId="2FC9AF10">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2. 其他补充条款（如有）：___________。</w:t>
      </w:r>
    </w:p>
    <w:p w14:paraId="32C25E61">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与本响应有关的一切正式往来信函请寄：</w:t>
      </w:r>
    </w:p>
    <w:p w14:paraId="50D41899">
      <w:pPr>
        <w:spacing w:line="360" w:lineRule="auto"/>
        <w:ind w:firstLine="480" w:firstLineChars="200"/>
        <w:contextualSpacing/>
        <w:jc w:val="left"/>
        <w:rPr>
          <w:rFonts w:asciiTheme="minorEastAsia" w:hAnsiTheme="minorEastAsia"/>
          <w:bCs/>
          <w:color w:val="auto"/>
          <w:sz w:val="24"/>
          <w:highlight w:val="none"/>
        </w:rPr>
      </w:pPr>
    </w:p>
    <w:p w14:paraId="4894C8D2">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地址_________________________</w:t>
      </w:r>
    </w:p>
    <w:p w14:paraId="4A19EB89">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传真_________________________</w:t>
      </w:r>
    </w:p>
    <w:p w14:paraId="00BF4160">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电话_________________________</w:t>
      </w:r>
    </w:p>
    <w:p w14:paraId="2BA16205">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电子函件_____________________</w:t>
      </w:r>
    </w:p>
    <w:p w14:paraId="2DB09D89">
      <w:pPr>
        <w:spacing w:line="360" w:lineRule="auto"/>
        <w:ind w:firstLine="480" w:firstLineChars="200"/>
        <w:contextualSpacing/>
        <w:jc w:val="left"/>
        <w:rPr>
          <w:rFonts w:asciiTheme="minorEastAsia" w:hAnsiTheme="minorEastAsia"/>
          <w:bCs/>
          <w:color w:val="auto"/>
          <w:sz w:val="24"/>
          <w:highlight w:val="none"/>
        </w:rPr>
      </w:pPr>
    </w:p>
    <w:p w14:paraId="0AC1DB40">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供应商名称（加盖公章） ___________</w:t>
      </w:r>
    </w:p>
    <w:p w14:paraId="2D091A7B">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 xml:space="preserve">日期：_____年______月______日    </w:t>
      </w:r>
    </w:p>
    <w:p w14:paraId="36B532CF">
      <w:pPr>
        <w:spacing w:line="360" w:lineRule="auto"/>
        <w:contextualSpacing/>
        <w:jc w:val="left"/>
        <w:rPr>
          <w:rFonts w:asciiTheme="minorEastAsia" w:hAnsiTheme="minorEastAsia"/>
          <w:bCs/>
          <w:color w:val="auto"/>
          <w:sz w:val="24"/>
          <w:highlight w:val="none"/>
        </w:rPr>
        <w:sectPr>
          <w:pgSz w:w="11906" w:h="16838"/>
          <w:pgMar w:top="1440" w:right="1800" w:bottom="1440" w:left="1800" w:header="851" w:footer="992" w:gutter="0"/>
          <w:cols w:space="0" w:num="1"/>
          <w:docGrid w:type="lines" w:linePitch="312" w:charSpace="0"/>
        </w:sectPr>
      </w:pPr>
    </w:p>
    <w:p w14:paraId="52A1D02F">
      <w:pPr>
        <w:spacing w:line="360" w:lineRule="auto"/>
        <w:jc w:val="left"/>
        <w:outlineLvl w:val="2"/>
        <w:rPr>
          <w:rFonts w:asciiTheme="minorEastAsia" w:hAnsiTheme="minorEastAsia"/>
          <w:color w:val="auto"/>
          <w:sz w:val="24"/>
          <w:highlight w:val="none"/>
        </w:rPr>
      </w:pPr>
      <w:r>
        <w:rPr>
          <w:rFonts w:hint="eastAsia" w:asciiTheme="minorEastAsia" w:hAnsiTheme="minorEastAsia"/>
          <w:color w:val="auto"/>
          <w:sz w:val="24"/>
          <w:highlight w:val="none"/>
        </w:rPr>
        <w:t>2法定代表人资格证明书</w:t>
      </w:r>
      <w:r>
        <w:rPr>
          <w:rFonts w:asciiTheme="minorEastAsia" w:hAnsiTheme="minorEastAsia"/>
          <w:color w:val="auto"/>
          <w:sz w:val="24"/>
          <w:highlight w:val="none"/>
        </w:rPr>
        <w:t>（实质性格式）</w:t>
      </w:r>
    </w:p>
    <w:p w14:paraId="6D167C07">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法定代表人资格证明书</w:t>
      </w:r>
    </w:p>
    <w:p w14:paraId="7412B9B8">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单位名称:</w:t>
      </w:r>
    </w:p>
    <w:p w14:paraId="7C6F2BA0">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地址:</w:t>
      </w:r>
    </w:p>
    <w:p w14:paraId="2033C96E">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姓名:     性别:       年龄:      职务:</w:t>
      </w:r>
    </w:p>
    <w:p w14:paraId="2474CF65">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系（供应商名称）的法定代表人。为参与（项目名称）的政府采购活动，</w:t>
      </w:r>
      <w:r>
        <w:rPr>
          <w:rFonts w:asciiTheme="minorEastAsia" w:hAnsiTheme="minorEastAsia"/>
          <w:bCs/>
          <w:color w:val="auto"/>
          <w:sz w:val="24"/>
          <w:highlight w:val="none"/>
        </w:rPr>
        <w:t>签署、澄清确认、递交、撤回、修改</w:t>
      </w:r>
      <w:r>
        <w:rPr>
          <w:rFonts w:hint="eastAsia" w:asciiTheme="minorEastAsia" w:hAnsiTheme="minorEastAsia"/>
          <w:bCs/>
          <w:color w:val="auto"/>
          <w:sz w:val="24"/>
          <w:highlight w:val="none"/>
        </w:rPr>
        <w:t>上述项目的响应文件、进行合同磋商、签署合同和处理与之有关的一切事务。</w:t>
      </w:r>
    </w:p>
    <w:p w14:paraId="31BD2CE3">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特此证明。</w:t>
      </w:r>
    </w:p>
    <w:p w14:paraId="02E15712">
      <w:pPr>
        <w:spacing w:line="360" w:lineRule="auto"/>
        <w:ind w:firstLine="480" w:firstLineChars="200"/>
        <w:contextualSpacing/>
        <w:jc w:val="left"/>
        <w:rPr>
          <w:rFonts w:asciiTheme="minorEastAsia" w:hAnsiTheme="minorEastAsia"/>
          <w:bCs/>
          <w:color w:val="auto"/>
          <w:sz w:val="24"/>
          <w:highlight w:val="none"/>
        </w:rPr>
      </w:pPr>
    </w:p>
    <w:p w14:paraId="5D65A181">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附：法定代表人（单位负责人）有效期内的身</w:t>
      </w:r>
      <w:r>
        <w:rPr>
          <w:rFonts w:hint="eastAsia" w:asciiTheme="minorEastAsia" w:hAnsiTheme="minorEastAsia"/>
          <w:bCs/>
          <w:color w:val="auto"/>
          <w:sz w:val="24"/>
          <w:highlight w:val="none"/>
        </w:rPr>
        <w:t>份</w:t>
      </w:r>
      <w:r>
        <w:rPr>
          <w:rFonts w:asciiTheme="minorEastAsia" w:hAnsiTheme="minorEastAsia"/>
          <w:bCs/>
          <w:color w:val="auto"/>
          <w:sz w:val="24"/>
          <w:highlight w:val="none"/>
        </w:rPr>
        <w:t>证正反</w:t>
      </w:r>
      <w:r>
        <w:rPr>
          <w:rFonts w:hint="eastAsia" w:asciiTheme="minorEastAsia" w:hAnsiTheme="minorEastAsia"/>
          <w:bCs/>
          <w:color w:val="auto"/>
          <w:sz w:val="24"/>
          <w:highlight w:val="none"/>
        </w:rPr>
        <w:t>面扫描</w:t>
      </w:r>
      <w:r>
        <w:rPr>
          <w:rFonts w:asciiTheme="minorEastAsia" w:hAnsiTheme="minorEastAsia"/>
          <w:bCs/>
          <w:color w:val="auto"/>
          <w:sz w:val="24"/>
          <w:highlight w:val="none"/>
        </w:rPr>
        <w:t>件</w:t>
      </w:r>
      <w:r>
        <w:rPr>
          <w:rFonts w:hint="eastAsia" w:asciiTheme="minorEastAsia" w:hAnsiTheme="minorEastAsia"/>
          <w:bCs/>
          <w:color w:val="auto"/>
          <w:sz w:val="24"/>
          <w:highlight w:val="none"/>
        </w:rPr>
        <w:t>。</w:t>
      </w:r>
    </w:p>
    <w:tbl>
      <w:tblPr>
        <w:tblStyle w:val="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68CF5D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30FB7CA3">
            <w:pPr>
              <w:spacing w:line="360" w:lineRule="auto"/>
              <w:ind w:firstLine="480" w:firstLineChars="200"/>
              <w:contextualSpacing/>
              <w:jc w:val="left"/>
              <w:rPr>
                <w:rFonts w:asciiTheme="minorEastAsia" w:hAnsiTheme="minorEastAsia"/>
                <w:bCs/>
                <w:color w:val="auto"/>
                <w:sz w:val="24"/>
                <w:highlight w:val="none"/>
              </w:rPr>
            </w:pPr>
          </w:p>
          <w:p w14:paraId="5590C8EC">
            <w:pPr>
              <w:spacing w:line="360" w:lineRule="auto"/>
              <w:ind w:firstLine="480" w:firstLineChars="200"/>
              <w:contextualSpacing/>
              <w:jc w:val="left"/>
              <w:rPr>
                <w:rFonts w:asciiTheme="minorEastAsia" w:hAnsiTheme="minorEastAsia"/>
                <w:bCs/>
                <w:color w:val="auto"/>
                <w:sz w:val="24"/>
                <w:highlight w:val="none"/>
              </w:rPr>
            </w:pPr>
          </w:p>
          <w:p w14:paraId="09B22AC8">
            <w:pPr>
              <w:spacing w:line="360" w:lineRule="auto"/>
              <w:ind w:firstLine="480" w:firstLineChars="200"/>
              <w:contextualSpacing/>
              <w:jc w:val="left"/>
              <w:rPr>
                <w:rFonts w:asciiTheme="minorEastAsia" w:hAnsiTheme="minorEastAsia"/>
                <w:bCs/>
                <w:color w:val="auto"/>
                <w:sz w:val="24"/>
                <w:highlight w:val="none"/>
              </w:rPr>
            </w:pPr>
          </w:p>
        </w:tc>
        <w:tc>
          <w:tcPr>
            <w:tcW w:w="4536" w:type="dxa"/>
          </w:tcPr>
          <w:p w14:paraId="2076A700">
            <w:pPr>
              <w:spacing w:line="360" w:lineRule="auto"/>
              <w:ind w:firstLine="480" w:firstLineChars="200"/>
              <w:contextualSpacing/>
              <w:jc w:val="left"/>
              <w:rPr>
                <w:rFonts w:asciiTheme="minorEastAsia" w:hAnsiTheme="minorEastAsia"/>
                <w:bCs/>
                <w:color w:val="auto"/>
                <w:sz w:val="24"/>
                <w:highlight w:val="none"/>
              </w:rPr>
            </w:pPr>
          </w:p>
          <w:p w14:paraId="544220F8">
            <w:pPr>
              <w:spacing w:line="360" w:lineRule="auto"/>
              <w:ind w:firstLine="480" w:firstLineChars="200"/>
              <w:contextualSpacing/>
              <w:jc w:val="left"/>
              <w:rPr>
                <w:rFonts w:asciiTheme="minorEastAsia" w:hAnsiTheme="minorEastAsia"/>
                <w:bCs/>
                <w:color w:val="auto"/>
                <w:sz w:val="24"/>
                <w:highlight w:val="none"/>
              </w:rPr>
            </w:pPr>
          </w:p>
          <w:p w14:paraId="61AC859F">
            <w:pPr>
              <w:spacing w:line="360" w:lineRule="auto"/>
              <w:ind w:firstLine="480" w:firstLineChars="200"/>
              <w:contextualSpacing/>
              <w:jc w:val="left"/>
              <w:rPr>
                <w:rFonts w:asciiTheme="minorEastAsia" w:hAnsiTheme="minorEastAsia"/>
                <w:bCs/>
                <w:color w:val="auto"/>
                <w:sz w:val="24"/>
                <w:highlight w:val="none"/>
              </w:rPr>
            </w:pPr>
          </w:p>
        </w:tc>
      </w:tr>
    </w:tbl>
    <w:p w14:paraId="7BE1E0EA">
      <w:pPr>
        <w:spacing w:line="360" w:lineRule="auto"/>
        <w:ind w:firstLine="480" w:firstLineChars="200"/>
        <w:contextualSpacing/>
        <w:jc w:val="left"/>
        <w:rPr>
          <w:rFonts w:asciiTheme="minorEastAsia" w:hAnsiTheme="minorEastAsia"/>
          <w:bCs/>
          <w:color w:val="auto"/>
          <w:sz w:val="24"/>
          <w:highlight w:val="none"/>
        </w:rPr>
      </w:pPr>
    </w:p>
    <w:p w14:paraId="6E9CB25A">
      <w:pPr>
        <w:spacing w:line="360" w:lineRule="auto"/>
        <w:ind w:firstLine="480" w:firstLineChars="200"/>
        <w:contextualSpacing/>
        <w:jc w:val="left"/>
        <w:rPr>
          <w:rFonts w:asciiTheme="minorEastAsia" w:hAnsiTheme="minorEastAsia"/>
          <w:bCs/>
          <w:color w:val="auto"/>
          <w:sz w:val="24"/>
          <w:highlight w:val="none"/>
        </w:rPr>
      </w:pPr>
    </w:p>
    <w:p w14:paraId="116EDF5C">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供应商：（加盖公章）</w:t>
      </w:r>
    </w:p>
    <w:p w14:paraId="19D88C5B">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法定代表人</w:t>
      </w:r>
      <w:r>
        <w:rPr>
          <w:rFonts w:asciiTheme="minorEastAsia" w:hAnsiTheme="minorEastAsia"/>
          <w:bCs/>
          <w:color w:val="auto"/>
          <w:sz w:val="24"/>
          <w:highlight w:val="none"/>
        </w:rPr>
        <w:t>签字</w:t>
      </w:r>
      <w:r>
        <w:rPr>
          <w:rFonts w:hint="eastAsia" w:asciiTheme="minorEastAsia" w:hAnsiTheme="minorEastAsia"/>
          <w:bCs/>
          <w:color w:val="auto"/>
          <w:sz w:val="24"/>
          <w:highlight w:val="none"/>
        </w:rPr>
        <w:t>或盖章：</w:t>
      </w:r>
    </w:p>
    <w:p w14:paraId="75112940">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日期：    年    月    日</w:t>
      </w:r>
    </w:p>
    <w:p w14:paraId="3C9EC192">
      <w:pPr>
        <w:spacing w:line="360" w:lineRule="auto"/>
        <w:ind w:firstLine="480" w:firstLineChars="200"/>
        <w:contextualSpacing/>
        <w:jc w:val="left"/>
        <w:rPr>
          <w:rFonts w:asciiTheme="minorEastAsia" w:hAnsiTheme="minorEastAsia"/>
          <w:bCs/>
          <w:color w:val="auto"/>
          <w:sz w:val="24"/>
          <w:highlight w:val="none"/>
        </w:rPr>
      </w:pPr>
    </w:p>
    <w:p w14:paraId="3F3CC41B">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说明</w:t>
      </w:r>
      <w:r>
        <w:rPr>
          <w:rFonts w:asciiTheme="minorEastAsia" w:hAnsiTheme="minorEastAsia"/>
          <w:bCs/>
          <w:color w:val="auto"/>
          <w:sz w:val="24"/>
          <w:highlight w:val="none"/>
        </w:rPr>
        <w:t>：</w:t>
      </w:r>
    </w:p>
    <w:p w14:paraId="2CE603F8">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1.若供应商为事业单位或其他组织或分支机构（仅当</w:t>
      </w:r>
      <w:r>
        <w:rPr>
          <w:rFonts w:hint="eastAsia" w:asciiTheme="minorEastAsia" w:hAnsiTheme="minorEastAsia"/>
          <w:bCs/>
          <w:color w:val="auto"/>
          <w:sz w:val="24"/>
          <w:highlight w:val="none"/>
        </w:rPr>
        <w:t>磋商文件</w:t>
      </w:r>
      <w:r>
        <w:rPr>
          <w:rFonts w:asciiTheme="minorEastAsia" w:hAnsiTheme="minorEastAsia"/>
          <w:bCs/>
          <w:color w:val="auto"/>
          <w:sz w:val="24"/>
          <w:highlight w:val="none"/>
        </w:rPr>
        <w:t>注明允许分支机构</w:t>
      </w:r>
      <w:r>
        <w:rPr>
          <w:rFonts w:hint="eastAsia" w:asciiTheme="minorEastAsia" w:hAnsiTheme="minorEastAsia"/>
          <w:bCs/>
          <w:color w:val="auto"/>
          <w:sz w:val="24"/>
          <w:highlight w:val="none"/>
        </w:rPr>
        <w:t>响应</w:t>
      </w:r>
      <w:r>
        <w:rPr>
          <w:rFonts w:asciiTheme="minorEastAsia" w:hAnsiTheme="minorEastAsia"/>
          <w:bCs/>
          <w:color w:val="auto"/>
          <w:sz w:val="24"/>
          <w:highlight w:val="none"/>
        </w:rPr>
        <w:t>的），则法定代表人（单位负责人）</w:t>
      </w:r>
      <w:r>
        <w:rPr>
          <w:rFonts w:hint="eastAsia" w:asciiTheme="minorEastAsia" w:hAnsiTheme="minorEastAsia"/>
          <w:bCs/>
          <w:color w:val="auto"/>
          <w:sz w:val="24"/>
          <w:highlight w:val="none"/>
        </w:rPr>
        <w:t>处</w:t>
      </w:r>
      <w:r>
        <w:rPr>
          <w:rFonts w:asciiTheme="minorEastAsia" w:hAnsiTheme="minorEastAsia"/>
          <w:bCs/>
          <w:color w:val="auto"/>
          <w:sz w:val="24"/>
          <w:highlight w:val="none"/>
        </w:rPr>
        <w:t>的签署人可为单位负责人</w:t>
      </w:r>
      <w:r>
        <w:rPr>
          <w:rFonts w:hint="eastAsia" w:asciiTheme="minorEastAsia" w:hAnsiTheme="minorEastAsia"/>
          <w:bCs/>
          <w:color w:val="auto"/>
          <w:sz w:val="24"/>
          <w:highlight w:val="none"/>
        </w:rPr>
        <w:t>。</w:t>
      </w:r>
    </w:p>
    <w:p w14:paraId="7D6B9EE0">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2</w:t>
      </w:r>
      <w:r>
        <w:rPr>
          <w:rFonts w:asciiTheme="minorEastAsia" w:hAnsiTheme="minorEastAsia"/>
          <w:bCs/>
          <w:color w:val="auto"/>
          <w:sz w:val="24"/>
          <w:highlight w:val="none"/>
        </w:rPr>
        <w:t>.</w:t>
      </w:r>
      <w:r>
        <w:rPr>
          <w:rFonts w:hint="eastAsia" w:asciiTheme="minorEastAsia" w:hAnsiTheme="minorEastAsia"/>
          <w:bCs/>
          <w:color w:val="auto"/>
          <w:sz w:val="24"/>
          <w:highlight w:val="none"/>
        </w:rPr>
        <w:t>供应商为自然人的情形，可不提供本</w:t>
      </w:r>
      <w:r>
        <w:rPr>
          <w:rFonts w:asciiTheme="minorEastAsia" w:hAnsiTheme="minorEastAsia"/>
          <w:bCs/>
          <w:color w:val="auto"/>
          <w:sz w:val="24"/>
          <w:highlight w:val="none"/>
        </w:rPr>
        <w:t>《</w:t>
      </w:r>
      <w:r>
        <w:rPr>
          <w:rFonts w:hint="eastAsia" w:asciiTheme="minorEastAsia" w:hAnsiTheme="minorEastAsia"/>
          <w:bCs/>
          <w:color w:val="auto"/>
          <w:sz w:val="24"/>
          <w:highlight w:val="none"/>
        </w:rPr>
        <w:t>法定代表人资格证明书</w:t>
      </w:r>
      <w:r>
        <w:rPr>
          <w:rFonts w:asciiTheme="minorEastAsia" w:hAnsiTheme="minorEastAsia"/>
          <w:bCs/>
          <w:color w:val="auto"/>
          <w:sz w:val="24"/>
          <w:highlight w:val="none"/>
        </w:rPr>
        <w:t>》</w:t>
      </w:r>
      <w:r>
        <w:rPr>
          <w:rFonts w:hint="eastAsia" w:asciiTheme="minorEastAsia" w:hAnsiTheme="minorEastAsia"/>
          <w:bCs/>
          <w:color w:val="auto"/>
          <w:sz w:val="24"/>
          <w:highlight w:val="none"/>
        </w:rPr>
        <w:t>。</w:t>
      </w:r>
    </w:p>
    <w:p w14:paraId="28AE5DE5">
      <w:pPr>
        <w:spacing w:line="360" w:lineRule="auto"/>
        <w:ind w:firstLine="480" w:firstLineChars="200"/>
        <w:contextualSpacing/>
        <w:jc w:val="left"/>
        <w:rPr>
          <w:rFonts w:asciiTheme="minorEastAsia" w:hAnsiTheme="minorEastAsia"/>
          <w:bCs/>
          <w:color w:val="auto"/>
          <w:sz w:val="24"/>
          <w:highlight w:val="none"/>
        </w:rPr>
        <w:sectPr>
          <w:pgSz w:w="11906" w:h="16838"/>
          <w:pgMar w:top="1440" w:right="1800" w:bottom="1440" w:left="1800" w:header="851" w:footer="992" w:gutter="0"/>
          <w:cols w:space="0" w:num="1"/>
          <w:docGrid w:type="lines" w:linePitch="312" w:charSpace="0"/>
        </w:sectPr>
      </w:pPr>
    </w:p>
    <w:p w14:paraId="5CA93D1F">
      <w:pPr>
        <w:spacing w:line="360" w:lineRule="auto"/>
        <w:jc w:val="left"/>
        <w:outlineLvl w:val="2"/>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3政府采购供应商信用承诺书</w:t>
      </w:r>
      <w:r>
        <w:rPr>
          <w:rFonts w:asciiTheme="minorEastAsia" w:hAnsiTheme="minorEastAsia"/>
          <w:color w:val="auto"/>
          <w:sz w:val="24"/>
          <w:szCs w:val="20"/>
          <w:highlight w:val="none"/>
        </w:rPr>
        <w:t>（实质性格式）</w:t>
      </w:r>
    </w:p>
    <w:p w14:paraId="10C8A7C5">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政府采购供应商信用承诺书</w:t>
      </w:r>
    </w:p>
    <w:p w14:paraId="7263084C">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为维护公开、公平、公正的政府采购市场秩序，树立诚实守信的供应商形象，本单位在参与政府采购活动中,自愿作出以下承诺：</w:t>
      </w:r>
    </w:p>
    <w:p w14:paraId="1EDCCE55">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一、严格遵守国家法律、法规和规章，全面履行应尽的责任和义务，全面做到履约守信，具备《政府采购法》第二十二条第一款规定的条件。</w:t>
      </w:r>
    </w:p>
    <w:p w14:paraId="6E7309F1">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B0870BC">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0C3E94B0">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四、严格依法开展生产经营活动，主动接受行业监管，自愿接受依法开展的日常检查；违法失信经营后将自愿接受约束和惩戒，并依法承担相应责任。</w:t>
      </w:r>
    </w:p>
    <w:p w14:paraId="75186D1A">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五、承诺本单位自觉接受行政管理部门、行业组织、社会公众、新闻舆论的监督。 </w:t>
      </w:r>
    </w:p>
    <w:p w14:paraId="7A623458">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43919B4F">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七、承诺本单位在信用中国（江苏）网站中无违法违规、较重或严重失信记录。 </w:t>
      </w:r>
    </w:p>
    <w:p w14:paraId="6F7C46F3">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八、承诺本单位提出政府采购质疑和投诉坚持依法依规、诚实信用原则。</w:t>
      </w:r>
    </w:p>
    <w:p w14:paraId="08975B82">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九、根据政府采购相关法律法规的规定需要作出的其他承诺。 </w:t>
      </w:r>
    </w:p>
    <w:p w14:paraId="2F1FD4C5">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十、承诺本单位若违背承诺约定，经查实，愿意接受行业主管部门和信用管理部门相应的规定处罚，承担违约责任，并依法承担相应的法律责任。</w:t>
      </w:r>
    </w:p>
    <w:p w14:paraId="6AD9510D">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十一、承诺本单位同意将以上承诺事项上网公示，违背承诺约定行为将作为失信信息，记录到常州市公共信用信息系统，并予以公开。</w:t>
      </w:r>
    </w:p>
    <w:p w14:paraId="2AAE4B9C">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供应商名称（加盖公章）：____________</w:t>
      </w:r>
    </w:p>
    <w:p w14:paraId="4402A636">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 xml:space="preserve">日期：_____年______月______日   </w:t>
      </w:r>
    </w:p>
    <w:p w14:paraId="35682E11">
      <w:pPr>
        <w:spacing w:line="360" w:lineRule="auto"/>
        <w:jc w:val="left"/>
        <w:outlineLvl w:val="2"/>
        <w:rPr>
          <w:rFonts w:asciiTheme="minorEastAsia" w:hAnsiTheme="minorEastAsia"/>
          <w:color w:val="auto"/>
          <w:sz w:val="24"/>
          <w:szCs w:val="20"/>
          <w:highlight w:val="none"/>
        </w:rPr>
        <w:sectPr>
          <w:pgSz w:w="11906" w:h="16838"/>
          <w:pgMar w:top="1440" w:right="1800" w:bottom="1440" w:left="1800" w:header="851" w:footer="992" w:gutter="0"/>
          <w:cols w:space="0" w:num="1"/>
          <w:docGrid w:type="lines" w:linePitch="312" w:charSpace="0"/>
        </w:sectPr>
      </w:pPr>
    </w:p>
    <w:p w14:paraId="01AA9858">
      <w:pPr>
        <w:spacing w:line="360" w:lineRule="auto"/>
        <w:jc w:val="left"/>
        <w:outlineLvl w:val="2"/>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4报价</w:t>
      </w:r>
      <w:r>
        <w:rPr>
          <w:rFonts w:asciiTheme="minorEastAsia" w:hAnsiTheme="minorEastAsia"/>
          <w:color w:val="auto"/>
          <w:sz w:val="24"/>
          <w:szCs w:val="20"/>
          <w:highlight w:val="none"/>
        </w:rPr>
        <w:t>一览表</w:t>
      </w:r>
      <w:r>
        <w:rPr>
          <w:rFonts w:hint="eastAsia" w:asciiTheme="minorEastAsia" w:hAnsiTheme="minorEastAsia"/>
          <w:color w:val="auto"/>
          <w:sz w:val="24"/>
          <w:szCs w:val="20"/>
          <w:highlight w:val="none"/>
        </w:rPr>
        <w:t>（实质性格式）</w:t>
      </w:r>
    </w:p>
    <w:p w14:paraId="7F9E5699">
      <w:pPr>
        <w:spacing w:line="360" w:lineRule="auto"/>
        <w:jc w:val="center"/>
        <w:rPr>
          <w:rFonts w:asciiTheme="minorEastAsia" w:hAnsiTheme="minorEastAsia"/>
          <w:b/>
          <w:color w:val="auto"/>
          <w:sz w:val="28"/>
          <w:szCs w:val="28"/>
          <w:highlight w:val="none"/>
        </w:rPr>
      </w:pPr>
      <w:bookmarkStart w:id="513" w:name="_Toc226309802"/>
      <w:bookmarkStart w:id="514" w:name="_Toc264969248"/>
      <w:bookmarkStart w:id="515" w:name="_Toc305158900"/>
      <w:bookmarkStart w:id="516" w:name="_Toc226337254"/>
      <w:bookmarkStart w:id="517" w:name="_Toc164608672"/>
      <w:bookmarkStart w:id="518" w:name="_Toc265228396"/>
      <w:bookmarkStart w:id="519" w:name="_Toc195842923"/>
      <w:bookmarkStart w:id="520" w:name="_Toc164608827"/>
      <w:bookmarkStart w:id="521" w:name="_Toc305158826"/>
      <w:bookmarkStart w:id="522" w:name="_Toc226965831"/>
      <w:bookmarkStart w:id="523" w:name="_Toc226965748"/>
      <w:r>
        <w:rPr>
          <w:rFonts w:hint="eastAsia" w:asciiTheme="minorEastAsia" w:hAnsiTheme="minorEastAsia"/>
          <w:b/>
          <w:color w:val="auto"/>
          <w:sz w:val="28"/>
          <w:szCs w:val="28"/>
          <w:highlight w:val="none"/>
        </w:rPr>
        <w:t>报价一览表</w:t>
      </w:r>
      <w:bookmarkEnd w:id="513"/>
      <w:bookmarkEnd w:id="514"/>
      <w:bookmarkEnd w:id="515"/>
      <w:bookmarkEnd w:id="516"/>
      <w:bookmarkEnd w:id="517"/>
      <w:bookmarkEnd w:id="518"/>
      <w:bookmarkEnd w:id="519"/>
      <w:bookmarkEnd w:id="520"/>
      <w:bookmarkEnd w:id="521"/>
      <w:bookmarkEnd w:id="522"/>
      <w:bookmarkEnd w:id="523"/>
    </w:p>
    <w:p w14:paraId="48A62989">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项目编号</w:t>
      </w:r>
      <w:r>
        <w:rPr>
          <w:rFonts w:hint="eastAsia" w:asciiTheme="minorEastAsia" w:hAnsiTheme="minorEastAsia"/>
          <w:bCs/>
          <w:color w:val="auto"/>
          <w:sz w:val="24"/>
          <w:highlight w:val="none"/>
        </w:rPr>
        <w:t>/分包号</w:t>
      </w:r>
      <w:r>
        <w:rPr>
          <w:rFonts w:asciiTheme="minorEastAsia" w:hAnsiTheme="minorEastAsia"/>
          <w:bCs/>
          <w:color w:val="auto"/>
          <w:sz w:val="24"/>
          <w:highlight w:val="none"/>
        </w:rPr>
        <w:t>：__________________</w:t>
      </w:r>
    </w:p>
    <w:p w14:paraId="1F9607FC">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项目名称：_______________________</w:t>
      </w:r>
    </w:p>
    <w:p w14:paraId="16F700B9">
      <w:pPr>
        <w:spacing w:line="360" w:lineRule="auto"/>
        <w:ind w:firstLine="480" w:firstLineChars="200"/>
        <w:contextualSpacing/>
        <w:jc w:val="left"/>
        <w:rPr>
          <w:rFonts w:asciiTheme="minorEastAsia" w:hAnsiTheme="minorEastAsia"/>
          <w:bCs/>
          <w:color w:val="auto"/>
          <w:sz w:val="24"/>
          <w:highlight w:val="none"/>
        </w:rPr>
      </w:pPr>
    </w:p>
    <w:tbl>
      <w:tblPr>
        <w:tblStyle w:val="21"/>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42"/>
        <w:gridCol w:w="2934"/>
        <w:gridCol w:w="1855"/>
        <w:gridCol w:w="1952"/>
      </w:tblGrid>
      <w:tr w14:paraId="25CF0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vAlign w:val="center"/>
          </w:tcPr>
          <w:p w14:paraId="6DCCD533">
            <w:pPr>
              <w:tabs>
                <w:tab w:val="left" w:pos="5580"/>
              </w:tabs>
              <w:jc w:val="center"/>
              <w:rPr>
                <w:b/>
                <w:color w:val="auto"/>
                <w:sz w:val="24"/>
                <w:highlight w:val="none"/>
              </w:rPr>
            </w:pPr>
            <w:r>
              <w:rPr>
                <w:rFonts w:hint="eastAsia"/>
                <w:b/>
                <w:color w:val="auto"/>
                <w:sz w:val="24"/>
                <w:highlight w:val="none"/>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14:paraId="3F8EE9A8">
            <w:pPr>
              <w:tabs>
                <w:tab w:val="left" w:pos="5580"/>
              </w:tabs>
              <w:jc w:val="center"/>
              <w:rPr>
                <w:b/>
                <w:color w:val="auto"/>
                <w:sz w:val="24"/>
                <w:highlight w:val="none"/>
              </w:rPr>
            </w:pPr>
            <w:r>
              <w:rPr>
                <w:rFonts w:hint="eastAsia"/>
                <w:b/>
                <w:color w:val="auto"/>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14:paraId="5DF2801A">
            <w:pPr>
              <w:tabs>
                <w:tab w:val="left" w:pos="5580"/>
              </w:tabs>
              <w:jc w:val="center"/>
              <w:rPr>
                <w:b/>
                <w:color w:val="auto"/>
                <w:sz w:val="24"/>
                <w:highlight w:val="none"/>
              </w:rPr>
            </w:pPr>
            <w:r>
              <w:rPr>
                <w:rFonts w:hint="eastAsia"/>
                <w:b/>
                <w:color w:val="auto"/>
                <w:sz w:val="24"/>
                <w:highlight w:val="none"/>
              </w:rPr>
              <w:t>报价（元）</w:t>
            </w:r>
          </w:p>
        </w:tc>
      </w:tr>
      <w:tr w14:paraId="0013E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vAlign w:val="center"/>
          </w:tcPr>
          <w:p w14:paraId="4CA577AE">
            <w:pPr>
              <w:widowControl/>
              <w:jc w:val="left"/>
              <w:rPr>
                <w:b/>
                <w:color w:val="auto"/>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vAlign w:val="center"/>
          </w:tcPr>
          <w:p w14:paraId="71904589">
            <w:pPr>
              <w:widowControl/>
              <w:jc w:val="left"/>
              <w:rPr>
                <w:b/>
                <w:color w:val="auto"/>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5D43DF71">
            <w:pPr>
              <w:tabs>
                <w:tab w:val="left" w:pos="5580"/>
              </w:tabs>
              <w:jc w:val="center"/>
              <w:rPr>
                <w:b/>
                <w:color w:val="auto"/>
                <w:sz w:val="24"/>
                <w:highlight w:val="none"/>
              </w:rPr>
            </w:pPr>
            <w:r>
              <w:rPr>
                <w:rFonts w:hint="eastAsia"/>
                <w:b/>
                <w:color w:val="auto"/>
                <w:sz w:val="24"/>
                <w:highlight w:val="none"/>
              </w:rPr>
              <w:t>大写</w:t>
            </w:r>
          </w:p>
        </w:tc>
        <w:tc>
          <w:tcPr>
            <w:tcW w:w="1304" w:type="pct"/>
            <w:tcBorders>
              <w:top w:val="single" w:color="auto" w:sz="4" w:space="0"/>
              <w:left w:val="single" w:color="auto" w:sz="4" w:space="0"/>
              <w:bottom w:val="single" w:color="auto" w:sz="4" w:space="0"/>
              <w:right w:val="single" w:color="auto" w:sz="4" w:space="0"/>
            </w:tcBorders>
            <w:vAlign w:val="center"/>
          </w:tcPr>
          <w:p w14:paraId="5E0EB1C8">
            <w:pPr>
              <w:tabs>
                <w:tab w:val="left" w:pos="5580"/>
              </w:tabs>
              <w:jc w:val="center"/>
              <w:rPr>
                <w:b/>
                <w:color w:val="auto"/>
                <w:sz w:val="24"/>
                <w:highlight w:val="none"/>
              </w:rPr>
            </w:pPr>
            <w:r>
              <w:rPr>
                <w:rFonts w:hint="eastAsia"/>
                <w:b/>
                <w:color w:val="auto"/>
                <w:sz w:val="24"/>
                <w:highlight w:val="none"/>
              </w:rPr>
              <w:t>小写</w:t>
            </w:r>
          </w:p>
        </w:tc>
      </w:tr>
      <w:tr w14:paraId="52600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vAlign w:val="center"/>
          </w:tcPr>
          <w:p w14:paraId="125E544E">
            <w:pPr>
              <w:tabs>
                <w:tab w:val="left" w:pos="5580"/>
              </w:tabs>
              <w:jc w:val="center"/>
              <w:rPr>
                <w:color w:val="auto"/>
                <w:sz w:val="24"/>
                <w:highlight w:val="none"/>
              </w:rPr>
            </w:pPr>
          </w:p>
        </w:tc>
        <w:tc>
          <w:tcPr>
            <w:tcW w:w="1960" w:type="pct"/>
            <w:tcBorders>
              <w:top w:val="single" w:color="auto" w:sz="4" w:space="0"/>
              <w:left w:val="single" w:color="auto" w:sz="4" w:space="0"/>
              <w:bottom w:val="single" w:color="auto" w:sz="4" w:space="0"/>
              <w:right w:val="single" w:color="auto" w:sz="4" w:space="0"/>
            </w:tcBorders>
            <w:vAlign w:val="center"/>
          </w:tcPr>
          <w:p w14:paraId="662099FC">
            <w:pPr>
              <w:tabs>
                <w:tab w:val="left" w:pos="5580"/>
              </w:tabs>
              <w:jc w:val="center"/>
              <w:rPr>
                <w:color w:val="auto"/>
                <w:sz w:val="24"/>
                <w:highlight w:val="none"/>
              </w:rPr>
            </w:pPr>
          </w:p>
        </w:tc>
        <w:tc>
          <w:tcPr>
            <w:tcW w:w="1239" w:type="pct"/>
            <w:tcBorders>
              <w:top w:val="single" w:color="auto" w:sz="4" w:space="0"/>
              <w:left w:val="single" w:color="auto" w:sz="4" w:space="0"/>
              <w:bottom w:val="single" w:color="auto" w:sz="4" w:space="0"/>
              <w:right w:val="single" w:color="auto" w:sz="4" w:space="0"/>
            </w:tcBorders>
            <w:vAlign w:val="center"/>
          </w:tcPr>
          <w:p w14:paraId="0E63C4CE">
            <w:pPr>
              <w:tabs>
                <w:tab w:val="left" w:pos="5580"/>
              </w:tabs>
              <w:jc w:val="center"/>
              <w:rPr>
                <w:color w:val="auto"/>
                <w:sz w:val="24"/>
                <w:highlight w:val="none"/>
              </w:rPr>
            </w:pPr>
          </w:p>
        </w:tc>
        <w:tc>
          <w:tcPr>
            <w:tcW w:w="1304" w:type="pct"/>
            <w:tcBorders>
              <w:top w:val="single" w:color="auto" w:sz="4" w:space="0"/>
              <w:left w:val="single" w:color="auto" w:sz="4" w:space="0"/>
              <w:bottom w:val="single" w:color="auto" w:sz="4" w:space="0"/>
              <w:right w:val="single" w:color="auto" w:sz="4" w:space="0"/>
            </w:tcBorders>
            <w:vAlign w:val="center"/>
          </w:tcPr>
          <w:p w14:paraId="409D7097">
            <w:pPr>
              <w:tabs>
                <w:tab w:val="left" w:pos="5580"/>
              </w:tabs>
              <w:jc w:val="center"/>
              <w:rPr>
                <w:color w:val="auto"/>
                <w:sz w:val="24"/>
                <w:highlight w:val="none"/>
              </w:rPr>
            </w:pPr>
          </w:p>
        </w:tc>
      </w:tr>
    </w:tbl>
    <w:p w14:paraId="29B9325E">
      <w:pPr>
        <w:spacing w:line="360" w:lineRule="auto"/>
        <w:ind w:firstLine="480" w:firstLineChars="200"/>
        <w:contextualSpacing/>
        <w:jc w:val="left"/>
        <w:rPr>
          <w:rFonts w:asciiTheme="minorEastAsia" w:hAnsiTheme="minorEastAsia"/>
          <w:bCs/>
          <w:color w:val="auto"/>
          <w:sz w:val="24"/>
          <w:highlight w:val="none"/>
        </w:rPr>
      </w:pPr>
    </w:p>
    <w:p w14:paraId="221255EB">
      <w:pPr>
        <w:spacing w:line="360" w:lineRule="auto"/>
        <w:ind w:firstLine="480" w:firstLineChars="200"/>
        <w:contextualSpacing/>
        <w:jc w:val="left"/>
        <w:rPr>
          <w:rFonts w:asciiTheme="minorEastAsia" w:hAnsiTheme="minorEastAsia"/>
          <w:bCs/>
          <w:color w:val="auto"/>
          <w:sz w:val="24"/>
          <w:highlight w:val="none"/>
        </w:rPr>
      </w:pPr>
    </w:p>
    <w:p w14:paraId="6BC4CE6A">
      <w:pPr>
        <w:spacing w:line="360" w:lineRule="auto"/>
        <w:ind w:firstLine="480" w:firstLineChars="200"/>
        <w:contextualSpacing/>
        <w:jc w:val="left"/>
        <w:rPr>
          <w:rFonts w:asciiTheme="minorEastAsia" w:hAnsiTheme="minorEastAsia"/>
          <w:bCs/>
          <w:color w:val="auto"/>
          <w:sz w:val="24"/>
          <w:highlight w:val="none"/>
        </w:rPr>
      </w:pPr>
    </w:p>
    <w:p w14:paraId="06BA620A">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注：</w:t>
      </w:r>
      <w:r>
        <w:rPr>
          <w:color w:val="auto"/>
          <w:sz w:val="24"/>
          <w:szCs w:val="20"/>
          <w:highlight w:val="none"/>
        </w:rPr>
        <w:t>此表中，每包的报价应和《分项报价表》中的总价相一致</w:t>
      </w:r>
    </w:p>
    <w:p w14:paraId="36CF4579">
      <w:pPr>
        <w:spacing w:line="360" w:lineRule="auto"/>
        <w:ind w:firstLine="480" w:firstLineChars="200"/>
        <w:contextualSpacing/>
        <w:jc w:val="left"/>
        <w:rPr>
          <w:rFonts w:asciiTheme="minorEastAsia" w:hAnsiTheme="minorEastAsia"/>
          <w:bCs/>
          <w:color w:val="auto"/>
          <w:sz w:val="24"/>
          <w:highlight w:val="none"/>
        </w:rPr>
      </w:pPr>
    </w:p>
    <w:p w14:paraId="53EA5C9F">
      <w:pPr>
        <w:spacing w:line="360" w:lineRule="auto"/>
        <w:ind w:firstLine="480" w:firstLineChars="200"/>
        <w:contextualSpacing/>
        <w:jc w:val="left"/>
        <w:rPr>
          <w:rFonts w:asciiTheme="minorEastAsia" w:hAnsiTheme="minorEastAsia"/>
          <w:bCs/>
          <w:color w:val="auto"/>
          <w:sz w:val="24"/>
          <w:highlight w:val="none"/>
        </w:rPr>
      </w:pPr>
    </w:p>
    <w:p w14:paraId="5BDD36B5">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供应商名称（加盖公章）：____________</w:t>
      </w:r>
    </w:p>
    <w:p w14:paraId="0A217AEC">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日期：_____年______月______日</w:t>
      </w:r>
    </w:p>
    <w:p w14:paraId="7D153620">
      <w:pPr>
        <w:widowControl/>
        <w:jc w:val="left"/>
        <w:rPr>
          <w:rFonts w:asciiTheme="minorEastAsia" w:hAnsiTheme="minorEastAsia"/>
          <w:bCs/>
          <w:color w:val="auto"/>
          <w:sz w:val="24"/>
          <w:highlight w:val="none"/>
        </w:rPr>
      </w:pPr>
      <w:r>
        <w:rPr>
          <w:rFonts w:asciiTheme="minorEastAsia" w:hAnsiTheme="minorEastAsia"/>
          <w:bCs/>
          <w:color w:val="auto"/>
          <w:sz w:val="24"/>
          <w:highlight w:val="none"/>
        </w:rPr>
        <w:br w:type="page"/>
      </w:r>
    </w:p>
    <w:p w14:paraId="73D36EFC">
      <w:pPr>
        <w:spacing w:line="360" w:lineRule="auto"/>
        <w:jc w:val="left"/>
        <w:outlineLvl w:val="2"/>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5、分项报价表（实质性格式）</w:t>
      </w:r>
    </w:p>
    <w:p w14:paraId="71897D0A">
      <w:pPr>
        <w:tabs>
          <w:tab w:val="left" w:pos="1800"/>
          <w:tab w:val="left" w:pos="5580"/>
        </w:tabs>
        <w:jc w:val="center"/>
        <w:rPr>
          <w:b/>
          <w:bCs/>
          <w:color w:val="auto"/>
          <w:sz w:val="32"/>
          <w:szCs w:val="32"/>
          <w:highlight w:val="none"/>
        </w:rPr>
      </w:pPr>
      <w:r>
        <w:rPr>
          <w:rFonts w:hint="eastAsia"/>
          <w:b/>
          <w:bCs/>
          <w:color w:val="auto"/>
          <w:sz w:val="32"/>
          <w:szCs w:val="32"/>
          <w:highlight w:val="none"/>
        </w:rPr>
        <w:t>分项报价表</w:t>
      </w:r>
    </w:p>
    <w:p w14:paraId="2F8F8BF2">
      <w:pPr>
        <w:tabs>
          <w:tab w:val="left" w:pos="1800"/>
          <w:tab w:val="left" w:pos="5580"/>
        </w:tabs>
        <w:rPr>
          <w:color w:val="auto"/>
          <w:sz w:val="24"/>
          <w:highlight w:val="none"/>
        </w:rPr>
      </w:pPr>
      <w:r>
        <w:rPr>
          <w:color w:val="auto"/>
          <w:sz w:val="24"/>
          <w:highlight w:val="none"/>
        </w:rPr>
        <w:t>项目编号</w:t>
      </w:r>
      <w:r>
        <w:rPr>
          <w:rFonts w:hint="eastAsia"/>
          <w:color w:val="auto"/>
          <w:sz w:val="24"/>
          <w:highlight w:val="none"/>
        </w:rPr>
        <w:t>/分包号</w:t>
      </w:r>
      <w:r>
        <w:rPr>
          <w:color w:val="auto"/>
          <w:sz w:val="24"/>
          <w:highlight w:val="none"/>
        </w:rPr>
        <w:t>：___________ 项目名称：__________报价单位：人民币元</w:t>
      </w:r>
    </w:p>
    <w:p w14:paraId="69FD6693">
      <w:pPr>
        <w:tabs>
          <w:tab w:val="left" w:pos="1800"/>
          <w:tab w:val="left" w:pos="5580"/>
        </w:tabs>
        <w:jc w:val="left"/>
        <w:rPr>
          <w:color w:val="auto"/>
          <w:sz w:val="24"/>
          <w:highlight w:val="none"/>
        </w:rPr>
      </w:pPr>
    </w:p>
    <w:tbl>
      <w:tblPr>
        <w:tblStyle w:val="21"/>
        <w:tblW w:w="8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1552"/>
        <w:gridCol w:w="1771"/>
        <w:gridCol w:w="973"/>
        <w:gridCol w:w="926"/>
        <w:gridCol w:w="858"/>
        <w:gridCol w:w="1001"/>
      </w:tblGrid>
      <w:tr w14:paraId="58ED8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jc w:val="center"/>
        </w:trPr>
        <w:tc>
          <w:tcPr>
            <w:tcW w:w="996" w:type="dxa"/>
            <w:vMerge w:val="restart"/>
            <w:tcBorders>
              <w:top w:val="single" w:color="auto" w:sz="4" w:space="0"/>
              <w:left w:val="single" w:color="auto" w:sz="4" w:space="0"/>
              <w:bottom w:val="single" w:color="auto" w:sz="4" w:space="0"/>
              <w:right w:val="single" w:color="auto" w:sz="4" w:space="0"/>
            </w:tcBorders>
            <w:vAlign w:val="center"/>
          </w:tcPr>
          <w:p w14:paraId="0E0FE9F9">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序号</w:t>
            </w:r>
          </w:p>
        </w:tc>
        <w:tc>
          <w:tcPr>
            <w:tcW w:w="1552" w:type="dxa"/>
            <w:vMerge w:val="restart"/>
            <w:tcBorders>
              <w:top w:val="single" w:color="auto" w:sz="4" w:space="0"/>
              <w:left w:val="single" w:color="auto" w:sz="4" w:space="0"/>
              <w:bottom w:val="single" w:color="auto" w:sz="4" w:space="0"/>
              <w:right w:val="single" w:color="auto" w:sz="4" w:space="0"/>
            </w:tcBorders>
            <w:vAlign w:val="center"/>
          </w:tcPr>
          <w:p w14:paraId="62566F68">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分项名称</w:t>
            </w:r>
          </w:p>
        </w:tc>
        <w:tc>
          <w:tcPr>
            <w:tcW w:w="1771" w:type="dxa"/>
            <w:vMerge w:val="restart"/>
            <w:tcBorders>
              <w:top w:val="single" w:color="auto" w:sz="4" w:space="0"/>
              <w:left w:val="single" w:color="auto" w:sz="4" w:space="0"/>
              <w:bottom w:val="single" w:color="auto" w:sz="4" w:space="0"/>
              <w:right w:val="single" w:color="auto" w:sz="4" w:space="0"/>
            </w:tcBorders>
            <w:vAlign w:val="center"/>
          </w:tcPr>
          <w:p w14:paraId="371EF229">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服务内容</w:t>
            </w:r>
          </w:p>
        </w:tc>
        <w:tc>
          <w:tcPr>
            <w:tcW w:w="973" w:type="dxa"/>
            <w:vMerge w:val="restart"/>
            <w:tcBorders>
              <w:top w:val="single" w:color="auto" w:sz="4" w:space="0"/>
              <w:left w:val="single" w:color="auto" w:sz="4" w:space="0"/>
              <w:bottom w:val="single" w:color="auto" w:sz="4" w:space="0"/>
              <w:right w:val="single" w:color="auto" w:sz="4" w:space="0"/>
            </w:tcBorders>
            <w:vAlign w:val="center"/>
          </w:tcPr>
          <w:p w14:paraId="0A5FF645">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数量</w:t>
            </w:r>
          </w:p>
        </w:tc>
        <w:tc>
          <w:tcPr>
            <w:tcW w:w="926" w:type="dxa"/>
            <w:vMerge w:val="restart"/>
            <w:tcBorders>
              <w:top w:val="single" w:color="auto" w:sz="4" w:space="0"/>
              <w:left w:val="single" w:color="auto" w:sz="4" w:space="0"/>
              <w:bottom w:val="single" w:color="auto" w:sz="4" w:space="0"/>
              <w:right w:val="single" w:color="auto" w:sz="4" w:space="0"/>
            </w:tcBorders>
            <w:vAlign w:val="center"/>
          </w:tcPr>
          <w:p w14:paraId="346175FF">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单位</w:t>
            </w:r>
          </w:p>
        </w:tc>
        <w:tc>
          <w:tcPr>
            <w:tcW w:w="1859" w:type="dxa"/>
            <w:gridSpan w:val="2"/>
            <w:tcBorders>
              <w:top w:val="single" w:color="auto" w:sz="4" w:space="0"/>
              <w:left w:val="single" w:color="auto" w:sz="4" w:space="0"/>
              <w:bottom w:val="single" w:color="auto" w:sz="4" w:space="0"/>
              <w:right w:val="single" w:color="auto" w:sz="4" w:space="0"/>
            </w:tcBorders>
            <w:vAlign w:val="center"/>
          </w:tcPr>
          <w:p w14:paraId="0C69299A">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响应价格</w:t>
            </w:r>
          </w:p>
        </w:tc>
      </w:tr>
      <w:tr w14:paraId="4E5B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jc w:val="center"/>
        </w:trPr>
        <w:tc>
          <w:tcPr>
            <w:tcW w:w="996" w:type="dxa"/>
            <w:vMerge w:val="continue"/>
            <w:tcBorders>
              <w:top w:val="single" w:color="auto" w:sz="4" w:space="0"/>
              <w:left w:val="single" w:color="auto" w:sz="4" w:space="0"/>
              <w:bottom w:val="single" w:color="auto" w:sz="4" w:space="0"/>
              <w:right w:val="single" w:color="auto" w:sz="4" w:space="0"/>
            </w:tcBorders>
            <w:vAlign w:val="center"/>
          </w:tcPr>
          <w:p w14:paraId="3507E301">
            <w:pPr>
              <w:widowControl/>
              <w:jc w:val="center"/>
              <w:rPr>
                <w:rFonts w:ascii="宋体" w:hAnsi="宋体" w:cs="Arial"/>
                <w:color w:val="auto"/>
                <w:kern w:val="0"/>
                <w:sz w:val="24"/>
                <w:highlight w:val="none"/>
              </w:rPr>
            </w:pPr>
          </w:p>
        </w:tc>
        <w:tc>
          <w:tcPr>
            <w:tcW w:w="1552" w:type="dxa"/>
            <w:vMerge w:val="continue"/>
            <w:tcBorders>
              <w:top w:val="single" w:color="auto" w:sz="4" w:space="0"/>
              <w:left w:val="single" w:color="auto" w:sz="4" w:space="0"/>
              <w:bottom w:val="single" w:color="auto" w:sz="4" w:space="0"/>
              <w:right w:val="single" w:color="auto" w:sz="4" w:space="0"/>
            </w:tcBorders>
            <w:vAlign w:val="center"/>
          </w:tcPr>
          <w:p w14:paraId="192B6A78">
            <w:pPr>
              <w:widowControl/>
              <w:jc w:val="center"/>
              <w:rPr>
                <w:rFonts w:ascii="宋体" w:hAnsi="宋体" w:cs="Arial"/>
                <w:color w:val="auto"/>
                <w:kern w:val="0"/>
                <w:sz w:val="24"/>
                <w:highlight w:val="none"/>
              </w:rPr>
            </w:pPr>
          </w:p>
        </w:tc>
        <w:tc>
          <w:tcPr>
            <w:tcW w:w="1771" w:type="dxa"/>
            <w:vMerge w:val="continue"/>
            <w:tcBorders>
              <w:top w:val="single" w:color="auto" w:sz="4" w:space="0"/>
              <w:left w:val="single" w:color="auto" w:sz="4" w:space="0"/>
              <w:bottom w:val="single" w:color="auto" w:sz="4" w:space="0"/>
              <w:right w:val="single" w:color="auto" w:sz="4" w:space="0"/>
            </w:tcBorders>
            <w:vAlign w:val="center"/>
          </w:tcPr>
          <w:p w14:paraId="4CFCDCEF">
            <w:pPr>
              <w:widowControl/>
              <w:jc w:val="center"/>
              <w:rPr>
                <w:rFonts w:ascii="宋体" w:hAnsi="宋体" w:cs="Arial"/>
                <w:color w:val="auto"/>
                <w:kern w:val="0"/>
                <w:sz w:val="24"/>
                <w:highlight w:val="none"/>
              </w:rPr>
            </w:pPr>
          </w:p>
        </w:tc>
        <w:tc>
          <w:tcPr>
            <w:tcW w:w="973" w:type="dxa"/>
            <w:vMerge w:val="continue"/>
            <w:tcBorders>
              <w:top w:val="single" w:color="auto" w:sz="4" w:space="0"/>
              <w:left w:val="single" w:color="auto" w:sz="4" w:space="0"/>
              <w:bottom w:val="single" w:color="auto" w:sz="4" w:space="0"/>
              <w:right w:val="single" w:color="auto" w:sz="4" w:space="0"/>
            </w:tcBorders>
            <w:vAlign w:val="center"/>
          </w:tcPr>
          <w:p w14:paraId="419A53D3">
            <w:pPr>
              <w:widowControl/>
              <w:jc w:val="center"/>
              <w:rPr>
                <w:rFonts w:ascii="宋体" w:hAnsi="宋体" w:cs="Arial"/>
                <w:color w:val="auto"/>
                <w:kern w:val="0"/>
                <w:sz w:val="24"/>
                <w:highlight w:val="none"/>
              </w:rPr>
            </w:pPr>
          </w:p>
        </w:tc>
        <w:tc>
          <w:tcPr>
            <w:tcW w:w="926" w:type="dxa"/>
            <w:vMerge w:val="continue"/>
            <w:tcBorders>
              <w:top w:val="single" w:color="auto" w:sz="4" w:space="0"/>
              <w:left w:val="single" w:color="auto" w:sz="4" w:space="0"/>
              <w:bottom w:val="single" w:color="auto" w:sz="4" w:space="0"/>
              <w:right w:val="single" w:color="auto" w:sz="4" w:space="0"/>
            </w:tcBorders>
            <w:vAlign w:val="center"/>
          </w:tcPr>
          <w:p w14:paraId="5C8E39CC">
            <w:pPr>
              <w:widowControl/>
              <w:jc w:val="center"/>
              <w:rPr>
                <w:rFonts w:ascii="宋体" w:hAnsi="宋体" w:cs="Arial"/>
                <w:color w:val="auto"/>
                <w:kern w:val="0"/>
                <w:sz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11C09A2">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单价</w:t>
            </w:r>
          </w:p>
        </w:tc>
        <w:tc>
          <w:tcPr>
            <w:tcW w:w="1001" w:type="dxa"/>
            <w:tcBorders>
              <w:top w:val="single" w:color="auto" w:sz="4" w:space="0"/>
              <w:left w:val="single" w:color="auto" w:sz="4" w:space="0"/>
              <w:bottom w:val="single" w:color="auto" w:sz="4" w:space="0"/>
              <w:right w:val="single" w:color="auto" w:sz="4" w:space="0"/>
            </w:tcBorders>
            <w:vAlign w:val="center"/>
          </w:tcPr>
          <w:p w14:paraId="2EC8559C">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合价</w:t>
            </w:r>
          </w:p>
        </w:tc>
      </w:tr>
      <w:tr w14:paraId="2688C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96" w:type="dxa"/>
            <w:tcBorders>
              <w:top w:val="single" w:color="auto" w:sz="4" w:space="0"/>
              <w:left w:val="single" w:color="auto" w:sz="4" w:space="0"/>
              <w:bottom w:val="single" w:color="auto" w:sz="4" w:space="0"/>
              <w:right w:val="single" w:color="auto" w:sz="4" w:space="0"/>
            </w:tcBorders>
            <w:vAlign w:val="center"/>
          </w:tcPr>
          <w:p w14:paraId="22FDA8C8">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1</w:t>
            </w:r>
          </w:p>
        </w:tc>
        <w:tc>
          <w:tcPr>
            <w:tcW w:w="1552" w:type="dxa"/>
            <w:tcBorders>
              <w:top w:val="single" w:color="auto" w:sz="4" w:space="0"/>
              <w:left w:val="single" w:color="auto" w:sz="4" w:space="0"/>
              <w:bottom w:val="single" w:color="auto" w:sz="4" w:space="0"/>
              <w:right w:val="single" w:color="auto" w:sz="4" w:space="0"/>
            </w:tcBorders>
            <w:vAlign w:val="center"/>
          </w:tcPr>
          <w:p w14:paraId="7DCDF753">
            <w:pPr>
              <w:widowControl/>
              <w:snapToGrid w:val="0"/>
              <w:spacing w:line="360" w:lineRule="auto"/>
              <w:jc w:val="center"/>
              <w:rPr>
                <w:rFonts w:ascii="宋体" w:hAnsi="宋体" w:cs="Arial"/>
                <w:b/>
                <w:bCs/>
                <w:color w:val="auto"/>
                <w:kern w:val="0"/>
                <w:sz w:val="24"/>
                <w:highlight w:val="none"/>
              </w:rPr>
            </w:pPr>
          </w:p>
        </w:tc>
        <w:tc>
          <w:tcPr>
            <w:tcW w:w="1771" w:type="dxa"/>
            <w:tcBorders>
              <w:top w:val="single" w:color="auto" w:sz="4" w:space="0"/>
              <w:left w:val="single" w:color="auto" w:sz="4" w:space="0"/>
              <w:bottom w:val="single" w:color="auto" w:sz="4" w:space="0"/>
              <w:right w:val="single" w:color="auto" w:sz="4" w:space="0"/>
            </w:tcBorders>
            <w:vAlign w:val="center"/>
          </w:tcPr>
          <w:p w14:paraId="265CA739">
            <w:pPr>
              <w:widowControl/>
              <w:snapToGrid w:val="0"/>
              <w:spacing w:line="360" w:lineRule="auto"/>
              <w:jc w:val="center"/>
              <w:rPr>
                <w:rFonts w:ascii="宋体" w:hAnsi="宋体" w:cs="Arial"/>
                <w:color w:val="auto"/>
                <w:kern w:val="0"/>
                <w:sz w:val="24"/>
                <w:highlight w:val="none"/>
              </w:rPr>
            </w:pPr>
          </w:p>
        </w:tc>
        <w:tc>
          <w:tcPr>
            <w:tcW w:w="973" w:type="dxa"/>
            <w:tcBorders>
              <w:top w:val="single" w:color="auto" w:sz="4" w:space="0"/>
              <w:left w:val="single" w:color="auto" w:sz="4" w:space="0"/>
              <w:bottom w:val="single" w:color="auto" w:sz="4" w:space="0"/>
              <w:right w:val="single" w:color="auto" w:sz="4" w:space="0"/>
            </w:tcBorders>
            <w:vAlign w:val="center"/>
          </w:tcPr>
          <w:p w14:paraId="67AC6CB2">
            <w:pPr>
              <w:widowControl/>
              <w:snapToGrid w:val="0"/>
              <w:spacing w:line="360" w:lineRule="auto"/>
              <w:jc w:val="center"/>
              <w:rPr>
                <w:rFonts w:ascii="宋体" w:hAnsi="宋体" w:cs="Arial"/>
                <w:color w:val="auto"/>
                <w:kern w:val="0"/>
                <w:sz w:val="24"/>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0CDDE28A">
            <w:pPr>
              <w:widowControl/>
              <w:snapToGrid w:val="0"/>
              <w:spacing w:line="360" w:lineRule="auto"/>
              <w:jc w:val="center"/>
              <w:rPr>
                <w:rFonts w:ascii="宋体" w:hAnsi="宋体" w:cs="Arial"/>
                <w:color w:val="auto"/>
                <w:kern w:val="0"/>
                <w:sz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103E4998">
            <w:pPr>
              <w:widowControl/>
              <w:snapToGrid w:val="0"/>
              <w:spacing w:line="360" w:lineRule="auto"/>
              <w:jc w:val="center"/>
              <w:rPr>
                <w:rFonts w:ascii="宋体" w:hAnsi="宋体" w:cs="Arial"/>
                <w:color w:val="auto"/>
                <w:kern w:val="0"/>
                <w:sz w:val="24"/>
                <w:highlight w:val="none"/>
              </w:rPr>
            </w:pPr>
          </w:p>
        </w:tc>
        <w:tc>
          <w:tcPr>
            <w:tcW w:w="1001" w:type="dxa"/>
            <w:tcBorders>
              <w:top w:val="single" w:color="auto" w:sz="4" w:space="0"/>
              <w:left w:val="single" w:color="auto" w:sz="4" w:space="0"/>
              <w:bottom w:val="single" w:color="auto" w:sz="4" w:space="0"/>
              <w:right w:val="single" w:color="auto" w:sz="4" w:space="0"/>
            </w:tcBorders>
            <w:vAlign w:val="center"/>
          </w:tcPr>
          <w:p w14:paraId="09351E5F">
            <w:pPr>
              <w:widowControl/>
              <w:snapToGrid w:val="0"/>
              <w:spacing w:line="360" w:lineRule="auto"/>
              <w:jc w:val="center"/>
              <w:rPr>
                <w:rFonts w:ascii="宋体" w:hAnsi="宋体" w:cs="Arial"/>
                <w:color w:val="auto"/>
                <w:kern w:val="0"/>
                <w:sz w:val="24"/>
                <w:highlight w:val="none"/>
              </w:rPr>
            </w:pPr>
          </w:p>
        </w:tc>
      </w:tr>
      <w:tr w14:paraId="6DE8C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96" w:type="dxa"/>
            <w:tcBorders>
              <w:top w:val="single" w:color="auto" w:sz="4" w:space="0"/>
              <w:left w:val="single" w:color="auto" w:sz="4" w:space="0"/>
              <w:bottom w:val="single" w:color="auto" w:sz="4" w:space="0"/>
              <w:right w:val="single" w:color="auto" w:sz="4" w:space="0"/>
            </w:tcBorders>
            <w:vAlign w:val="center"/>
          </w:tcPr>
          <w:p w14:paraId="4D68DD8F">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2</w:t>
            </w:r>
          </w:p>
        </w:tc>
        <w:tc>
          <w:tcPr>
            <w:tcW w:w="1552" w:type="dxa"/>
            <w:tcBorders>
              <w:top w:val="single" w:color="auto" w:sz="4" w:space="0"/>
              <w:left w:val="single" w:color="auto" w:sz="4" w:space="0"/>
              <w:bottom w:val="single" w:color="auto" w:sz="4" w:space="0"/>
              <w:right w:val="single" w:color="auto" w:sz="4" w:space="0"/>
            </w:tcBorders>
            <w:vAlign w:val="center"/>
          </w:tcPr>
          <w:p w14:paraId="2940F838">
            <w:pPr>
              <w:widowControl/>
              <w:jc w:val="center"/>
              <w:textAlignment w:val="center"/>
              <w:rPr>
                <w:rFonts w:ascii="宋体" w:hAnsi="宋体" w:cs="Arial"/>
                <w:b/>
                <w:bCs/>
                <w:color w:val="auto"/>
                <w:kern w:val="0"/>
                <w:sz w:val="24"/>
                <w:highlight w:val="none"/>
              </w:rPr>
            </w:pPr>
          </w:p>
        </w:tc>
        <w:tc>
          <w:tcPr>
            <w:tcW w:w="1771" w:type="dxa"/>
            <w:tcBorders>
              <w:top w:val="single" w:color="auto" w:sz="4" w:space="0"/>
              <w:left w:val="single" w:color="auto" w:sz="4" w:space="0"/>
              <w:bottom w:val="single" w:color="auto" w:sz="4" w:space="0"/>
              <w:right w:val="single" w:color="auto" w:sz="4" w:space="0"/>
            </w:tcBorders>
            <w:vAlign w:val="center"/>
          </w:tcPr>
          <w:p w14:paraId="3A7C35DE">
            <w:pPr>
              <w:widowControl/>
              <w:snapToGrid w:val="0"/>
              <w:spacing w:line="360" w:lineRule="auto"/>
              <w:jc w:val="center"/>
              <w:rPr>
                <w:rFonts w:ascii="宋体" w:hAnsi="宋体" w:cs="Arial"/>
                <w:color w:val="auto"/>
                <w:kern w:val="0"/>
                <w:sz w:val="24"/>
                <w:highlight w:val="none"/>
              </w:rPr>
            </w:pPr>
          </w:p>
        </w:tc>
        <w:tc>
          <w:tcPr>
            <w:tcW w:w="973" w:type="dxa"/>
            <w:tcBorders>
              <w:top w:val="single" w:color="auto" w:sz="4" w:space="0"/>
              <w:left w:val="single" w:color="auto" w:sz="4" w:space="0"/>
              <w:bottom w:val="single" w:color="auto" w:sz="4" w:space="0"/>
              <w:right w:val="single" w:color="auto" w:sz="4" w:space="0"/>
            </w:tcBorders>
            <w:vAlign w:val="center"/>
          </w:tcPr>
          <w:p w14:paraId="0BB2AB80">
            <w:pPr>
              <w:widowControl/>
              <w:snapToGrid w:val="0"/>
              <w:spacing w:line="360" w:lineRule="auto"/>
              <w:jc w:val="center"/>
              <w:rPr>
                <w:rFonts w:ascii="宋体" w:hAnsi="宋体" w:cs="Arial"/>
                <w:color w:val="auto"/>
                <w:kern w:val="0"/>
                <w:sz w:val="24"/>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0E2A28B5">
            <w:pPr>
              <w:widowControl/>
              <w:snapToGrid w:val="0"/>
              <w:spacing w:line="360" w:lineRule="auto"/>
              <w:jc w:val="center"/>
              <w:rPr>
                <w:rFonts w:ascii="宋体" w:hAnsi="宋体" w:cs="Arial"/>
                <w:color w:val="auto"/>
                <w:kern w:val="0"/>
                <w:sz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CBD0B50">
            <w:pPr>
              <w:widowControl/>
              <w:snapToGrid w:val="0"/>
              <w:spacing w:line="360" w:lineRule="auto"/>
              <w:jc w:val="center"/>
              <w:rPr>
                <w:rFonts w:ascii="宋体" w:hAnsi="宋体" w:cs="Arial"/>
                <w:color w:val="auto"/>
                <w:kern w:val="0"/>
                <w:sz w:val="24"/>
                <w:highlight w:val="none"/>
              </w:rPr>
            </w:pPr>
          </w:p>
        </w:tc>
        <w:tc>
          <w:tcPr>
            <w:tcW w:w="1001" w:type="dxa"/>
            <w:tcBorders>
              <w:top w:val="single" w:color="auto" w:sz="4" w:space="0"/>
              <w:left w:val="single" w:color="auto" w:sz="4" w:space="0"/>
              <w:bottom w:val="single" w:color="auto" w:sz="4" w:space="0"/>
              <w:right w:val="single" w:color="auto" w:sz="4" w:space="0"/>
            </w:tcBorders>
            <w:vAlign w:val="center"/>
          </w:tcPr>
          <w:p w14:paraId="7BD1B22B">
            <w:pPr>
              <w:widowControl/>
              <w:snapToGrid w:val="0"/>
              <w:spacing w:line="360" w:lineRule="auto"/>
              <w:jc w:val="center"/>
              <w:rPr>
                <w:rFonts w:ascii="宋体" w:hAnsi="宋体" w:cs="Arial"/>
                <w:color w:val="auto"/>
                <w:kern w:val="0"/>
                <w:sz w:val="24"/>
                <w:highlight w:val="none"/>
              </w:rPr>
            </w:pPr>
          </w:p>
        </w:tc>
      </w:tr>
      <w:tr w14:paraId="29729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96" w:type="dxa"/>
            <w:tcBorders>
              <w:top w:val="single" w:color="auto" w:sz="4" w:space="0"/>
              <w:left w:val="single" w:color="auto" w:sz="4" w:space="0"/>
              <w:bottom w:val="single" w:color="auto" w:sz="4" w:space="0"/>
              <w:right w:val="single" w:color="auto" w:sz="4" w:space="0"/>
            </w:tcBorders>
            <w:vAlign w:val="center"/>
          </w:tcPr>
          <w:p w14:paraId="7E6F998E">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3</w:t>
            </w:r>
          </w:p>
        </w:tc>
        <w:tc>
          <w:tcPr>
            <w:tcW w:w="1552" w:type="dxa"/>
            <w:tcBorders>
              <w:top w:val="single" w:color="auto" w:sz="4" w:space="0"/>
              <w:left w:val="single" w:color="auto" w:sz="4" w:space="0"/>
              <w:bottom w:val="single" w:color="auto" w:sz="4" w:space="0"/>
              <w:right w:val="single" w:color="auto" w:sz="4" w:space="0"/>
            </w:tcBorders>
            <w:vAlign w:val="center"/>
          </w:tcPr>
          <w:p w14:paraId="5EE9327D">
            <w:pPr>
              <w:widowControl/>
              <w:jc w:val="center"/>
              <w:textAlignment w:val="center"/>
              <w:rPr>
                <w:rFonts w:ascii="宋体" w:hAnsi="宋体" w:cs="Arial"/>
                <w:b/>
                <w:bCs/>
                <w:color w:val="auto"/>
                <w:kern w:val="0"/>
                <w:sz w:val="24"/>
                <w:highlight w:val="none"/>
              </w:rPr>
            </w:pPr>
          </w:p>
        </w:tc>
        <w:tc>
          <w:tcPr>
            <w:tcW w:w="1771" w:type="dxa"/>
            <w:tcBorders>
              <w:top w:val="single" w:color="auto" w:sz="4" w:space="0"/>
              <w:left w:val="single" w:color="auto" w:sz="4" w:space="0"/>
              <w:bottom w:val="single" w:color="auto" w:sz="4" w:space="0"/>
              <w:right w:val="single" w:color="auto" w:sz="4" w:space="0"/>
            </w:tcBorders>
            <w:vAlign w:val="center"/>
          </w:tcPr>
          <w:p w14:paraId="05741C0A">
            <w:pPr>
              <w:widowControl/>
              <w:snapToGrid w:val="0"/>
              <w:spacing w:line="360" w:lineRule="auto"/>
              <w:jc w:val="center"/>
              <w:rPr>
                <w:rFonts w:ascii="宋体" w:hAnsi="宋体" w:cs="Arial"/>
                <w:color w:val="auto"/>
                <w:kern w:val="0"/>
                <w:sz w:val="24"/>
                <w:highlight w:val="none"/>
              </w:rPr>
            </w:pPr>
          </w:p>
        </w:tc>
        <w:tc>
          <w:tcPr>
            <w:tcW w:w="973" w:type="dxa"/>
            <w:tcBorders>
              <w:top w:val="single" w:color="auto" w:sz="4" w:space="0"/>
              <w:left w:val="single" w:color="auto" w:sz="4" w:space="0"/>
              <w:bottom w:val="single" w:color="auto" w:sz="4" w:space="0"/>
              <w:right w:val="single" w:color="auto" w:sz="4" w:space="0"/>
            </w:tcBorders>
            <w:vAlign w:val="center"/>
          </w:tcPr>
          <w:p w14:paraId="391E8E94">
            <w:pPr>
              <w:widowControl/>
              <w:snapToGrid w:val="0"/>
              <w:spacing w:line="360" w:lineRule="auto"/>
              <w:jc w:val="center"/>
              <w:rPr>
                <w:rFonts w:ascii="宋体" w:hAnsi="宋体" w:cs="Arial"/>
                <w:color w:val="auto"/>
                <w:kern w:val="0"/>
                <w:sz w:val="24"/>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06861109">
            <w:pPr>
              <w:widowControl/>
              <w:snapToGrid w:val="0"/>
              <w:spacing w:line="360" w:lineRule="auto"/>
              <w:jc w:val="center"/>
              <w:rPr>
                <w:rFonts w:ascii="宋体" w:hAnsi="宋体" w:cs="Arial"/>
                <w:color w:val="auto"/>
                <w:kern w:val="0"/>
                <w:sz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55773EC5">
            <w:pPr>
              <w:widowControl/>
              <w:snapToGrid w:val="0"/>
              <w:spacing w:line="360" w:lineRule="auto"/>
              <w:jc w:val="center"/>
              <w:rPr>
                <w:rFonts w:ascii="宋体" w:hAnsi="宋体" w:cs="Arial"/>
                <w:color w:val="auto"/>
                <w:kern w:val="0"/>
                <w:sz w:val="24"/>
                <w:highlight w:val="none"/>
              </w:rPr>
            </w:pPr>
          </w:p>
        </w:tc>
        <w:tc>
          <w:tcPr>
            <w:tcW w:w="1001" w:type="dxa"/>
            <w:tcBorders>
              <w:top w:val="single" w:color="auto" w:sz="4" w:space="0"/>
              <w:left w:val="single" w:color="auto" w:sz="4" w:space="0"/>
              <w:bottom w:val="single" w:color="auto" w:sz="4" w:space="0"/>
              <w:right w:val="single" w:color="auto" w:sz="4" w:space="0"/>
            </w:tcBorders>
            <w:vAlign w:val="center"/>
          </w:tcPr>
          <w:p w14:paraId="202B1DEB">
            <w:pPr>
              <w:widowControl/>
              <w:snapToGrid w:val="0"/>
              <w:spacing w:line="360" w:lineRule="auto"/>
              <w:jc w:val="center"/>
              <w:rPr>
                <w:rFonts w:ascii="宋体" w:hAnsi="宋体" w:cs="Arial"/>
                <w:color w:val="auto"/>
                <w:kern w:val="0"/>
                <w:sz w:val="24"/>
                <w:highlight w:val="none"/>
              </w:rPr>
            </w:pPr>
          </w:p>
        </w:tc>
      </w:tr>
      <w:tr w14:paraId="66D8E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96" w:type="dxa"/>
            <w:tcBorders>
              <w:top w:val="single" w:color="auto" w:sz="4" w:space="0"/>
              <w:left w:val="single" w:color="auto" w:sz="4" w:space="0"/>
              <w:bottom w:val="single" w:color="auto" w:sz="4" w:space="0"/>
              <w:right w:val="single" w:color="auto" w:sz="4" w:space="0"/>
            </w:tcBorders>
            <w:vAlign w:val="center"/>
          </w:tcPr>
          <w:p w14:paraId="495406DB">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4</w:t>
            </w:r>
          </w:p>
        </w:tc>
        <w:tc>
          <w:tcPr>
            <w:tcW w:w="1552" w:type="dxa"/>
            <w:tcBorders>
              <w:top w:val="single" w:color="auto" w:sz="4" w:space="0"/>
              <w:left w:val="single" w:color="auto" w:sz="4" w:space="0"/>
              <w:bottom w:val="single" w:color="auto" w:sz="4" w:space="0"/>
              <w:right w:val="single" w:color="auto" w:sz="4" w:space="0"/>
            </w:tcBorders>
            <w:vAlign w:val="center"/>
          </w:tcPr>
          <w:p w14:paraId="1F54A69D">
            <w:pPr>
              <w:widowControl/>
              <w:jc w:val="center"/>
              <w:textAlignment w:val="center"/>
              <w:rPr>
                <w:rFonts w:ascii="宋体" w:hAnsi="宋体" w:cs="Arial"/>
                <w:b/>
                <w:bCs/>
                <w:color w:val="auto"/>
                <w:kern w:val="0"/>
                <w:sz w:val="24"/>
                <w:highlight w:val="none"/>
              </w:rPr>
            </w:pPr>
          </w:p>
        </w:tc>
        <w:tc>
          <w:tcPr>
            <w:tcW w:w="1771" w:type="dxa"/>
            <w:tcBorders>
              <w:top w:val="single" w:color="auto" w:sz="4" w:space="0"/>
              <w:left w:val="single" w:color="auto" w:sz="4" w:space="0"/>
              <w:bottom w:val="single" w:color="auto" w:sz="4" w:space="0"/>
              <w:right w:val="single" w:color="auto" w:sz="4" w:space="0"/>
            </w:tcBorders>
            <w:vAlign w:val="center"/>
          </w:tcPr>
          <w:p w14:paraId="17DD944A">
            <w:pPr>
              <w:widowControl/>
              <w:snapToGrid w:val="0"/>
              <w:spacing w:line="360" w:lineRule="auto"/>
              <w:jc w:val="center"/>
              <w:rPr>
                <w:rFonts w:ascii="宋体" w:hAnsi="宋体" w:cs="Arial"/>
                <w:color w:val="auto"/>
                <w:kern w:val="0"/>
                <w:sz w:val="24"/>
                <w:highlight w:val="none"/>
              </w:rPr>
            </w:pPr>
          </w:p>
        </w:tc>
        <w:tc>
          <w:tcPr>
            <w:tcW w:w="973" w:type="dxa"/>
            <w:tcBorders>
              <w:top w:val="single" w:color="auto" w:sz="4" w:space="0"/>
              <w:left w:val="single" w:color="auto" w:sz="4" w:space="0"/>
              <w:bottom w:val="single" w:color="auto" w:sz="4" w:space="0"/>
              <w:right w:val="single" w:color="auto" w:sz="4" w:space="0"/>
            </w:tcBorders>
            <w:vAlign w:val="center"/>
          </w:tcPr>
          <w:p w14:paraId="52C65A98">
            <w:pPr>
              <w:widowControl/>
              <w:snapToGrid w:val="0"/>
              <w:spacing w:line="360" w:lineRule="auto"/>
              <w:jc w:val="center"/>
              <w:rPr>
                <w:rFonts w:ascii="宋体" w:hAnsi="宋体" w:cs="Arial"/>
                <w:color w:val="auto"/>
                <w:kern w:val="0"/>
                <w:sz w:val="24"/>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461C80BD">
            <w:pPr>
              <w:widowControl/>
              <w:snapToGrid w:val="0"/>
              <w:spacing w:line="360" w:lineRule="auto"/>
              <w:jc w:val="center"/>
              <w:rPr>
                <w:rFonts w:ascii="宋体" w:hAnsi="宋体" w:cs="Arial"/>
                <w:color w:val="auto"/>
                <w:kern w:val="0"/>
                <w:sz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26CFB19C">
            <w:pPr>
              <w:widowControl/>
              <w:snapToGrid w:val="0"/>
              <w:spacing w:line="360" w:lineRule="auto"/>
              <w:jc w:val="center"/>
              <w:rPr>
                <w:rFonts w:ascii="宋体" w:hAnsi="宋体" w:cs="Arial"/>
                <w:color w:val="auto"/>
                <w:kern w:val="0"/>
                <w:sz w:val="24"/>
                <w:highlight w:val="none"/>
              </w:rPr>
            </w:pPr>
          </w:p>
        </w:tc>
        <w:tc>
          <w:tcPr>
            <w:tcW w:w="1001" w:type="dxa"/>
            <w:tcBorders>
              <w:top w:val="single" w:color="auto" w:sz="4" w:space="0"/>
              <w:left w:val="single" w:color="auto" w:sz="4" w:space="0"/>
              <w:bottom w:val="single" w:color="auto" w:sz="4" w:space="0"/>
              <w:right w:val="single" w:color="auto" w:sz="4" w:space="0"/>
            </w:tcBorders>
            <w:vAlign w:val="center"/>
          </w:tcPr>
          <w:p w14:paraId="37572EBD">
            <w:pPr>
              <w:widowControl/>
              <w:snapToGrid w:val="0"/>
              <w:spacing w:line="360" w:lineRule="auto"/>
              <w:jc w:val="center"/>
              <w:rPr>
                <w:rFonts w:ascii="宋体" w:hAnsi="宋体" w:cs="Arial"/>
                <w:color w:val="auto"/>
                <w:kern w:val="0"/>
                <w:sz w:val="24"/>
                <w:highlight w:val="none"/>
              </w:rPr>
            </w:pPr>
          </w:p>
        </w:tc>
      </w:tr>
      <w:tr w14:paraId="2827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96" w:type="dxa"/>
            <w:tcBorders>
              <w:top w:val="single" w:color="auto" w:sz="4" w:space="0"/>
              <w:left w:val="single" w:color="auto" w:sz="4" w:space="0"/>
              <w:bottom w:val="single" w:color="auto" w:sz="4" w:space="0"/>
              <w:right w:val="single" w:color="auto" w:sz="4" w:space="0"/>
            </w:tcBorders>
            <w:vAlign w:val="center"/>
          </w:tcPr>
          <w:p w14:paraId="555F11D6">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5</w:t>
            </w:r>
          </w:p>
        </w:tc>
        <w:tc>
          <w:tcPr>
            <w:tcW w:w="1552" w:type="dxa"/>
            <w:tcBorders>
              <w:top w:val="single" w:color="auto" w:sz="4" w:space="0"/>
              <w:left w:val="single" w:color="auto" w:sz="4" w:space="0"/>
              <w:bottom w:val="single" w:color="auto" w:sz="4" w:space="0"/>
              <w:right w:val="single" w:color="auto" w:sz="4" w:space="0"/>
            </w:tcBorders>
            <w:vAlign w:val="center"/>
          </w:tcPr>
          <w:p w14:paraId="04A798AD">
            <w:pPr>
              <w:widowControl/>
              <w:jc w:val="center"/>
              <w:textAlignment w:val="center"/>
              <w:rPr>
                <w:rFonts w:ascii="宋体" w:hAnsi="宋体" w:cs="Arial"/>
                <w:b/>
                <w:bCs/>
                <w:color w:val="auto"/>
                <w:kern w:val="0"/>
                <w:sz w:val="24"/>
                <w:highlight w:val="none"/>
              </w:rPr>
            </w:pPr>
          </w:p>
        </w:tc>
        <w:tc>
          <w:tcPr>
            <w:tcW w:w="1771" w:type="dxa"/>
            <w:tcBorders>
              <w:top w:val="single" w:color="auto" w:sz="4" w:space="0"/>
              <w:left w:val="single" w:color="auto" w:sz="4" w:space="0"/>
              <w:bottom w:val="single" w:color="auto" w:sz="4" w:space="0"/>
              <w:right w:val="single" w:color="auto" w:sz="4" w:space="0"/>
            </w:tcBorders>
            <w:vAlign w:val="center"/>
          </w:tcPr>
          <w:p w14:paraId="7B7CA56F">
            <w:pPr>
              <w:widowControl/>
              <w:snapToGrid w:val="0"/>
              <w:spacing w:line="360" w:lineRule="auto"/>
              <w:jc w:val="center"/>
              <w:rPr>
                <w:rFonts w:ascii="宋体" w:hAnsi="宋体" w:cs="Arial"/>
                <w:color w:val="auto"/>
                <w:kern w:val="0"/>
                <w:sz w:val="24"/>
                <w:highlight w:val="none"/>
              </w:rPr>
            </w:pPr>
          </w:p>
        </w:tc>
        <w:tc>
          <w:tcPr>
            <w:tcW w:w="973" w:type="dxa"/>
            <w:tcBorders>
              <w:top w:val="single" w:color="auto" w:sz="4" w:space="0"/>
              <w:left w:val="single" w:color="auto" w:sz="4" w:space="0"/>
              <w:bottom w:val="single" w:color="auto" w:sz="4" w:space="0"/>
              <w:right w:val="single" w:color="auto" w:sz="4" w:space="0"/>
            </w:tcBorders>
            <w:vAlign w:val="center"/>
          </w:tcPr>
          <w:p w14:paraId="1FD46503">
            <w:pPr>
              <w:widowControl/>
              <w:snapToGrid w:val="0"/>
              <w:spacing w:line="360" w:lineRule="auto"/>
              <w:jc w:val="center"/>
              <w:rPr>
                <w:rFonts w:ascii="宋体" w:hAnsi="宋体" w:cs="Arial"/>
                <w:color w:val="auto"/>
                <w:kern w:val="0"/>
                <w:sz w:val="24"/>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4BBA5DDD">
            <w:pPr>
              <w:widowControl/>
              <w:snapToGrid w:val="0"/>
              <w:spacing w:line="360" w:lineRule="auto"/>
              <w:jc w:val="center"/>
              <w:rPr>
                <w:rFonts w:ascii="宋体" w:hAnsi="宋体" w:cs="Arial"/>
                <w:color w:val="auto"/>
                <w:kern w:val="0"/>
                <w:sz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6CAF34D9">
            <w:pPr>
              <w:widowControl/>
              <w:snapToGrid w:val="0"/>
              <w:spacing w:line="360" w:lineRule="auto"/>
              <w:jc w:val="center"/>
              <w:rPr>
                <w:rFonts w:ascii="宋体" w:hAnsi="宋体" w:cs="Arial"/>
                <w:color w:val="auto"/>
                <w:kern w:val="0"/>
                <w:sz w:val="24"/>
                <w:highlight w:val="none"/>
              </w:rPr>
            </w:pPr>
          </w:p>
        </w:tc>
        <w:tc>
          <w:tcPr>
            <w:tcW w:w="1001" w:type="dxa"/>
            <w:tcBorders>
              <w:top w:val="single" w:color="auto" w:sz="4" w:space="0"/>
              <w:left w:val="single" w:color="auto" w:sz="4" w:space="0"/>
              <w:bottom w:val="single" w:color="auto" w:sz="4" w:space="0"/>
              <w:right w:val="single" w:color="auto" w:sz="4" w:space="0"/>
            </w:tcBorders>
            <w:vAlign w:val="center"/>
          </w:tcPr>
          <w:p w14:paraId="741C78C9">
            <w:pPr>
              <w:widowControl/>
              <w:snapToGrid w:val="0"/>
              <w:spacing w:line="360" w:lineRule="auto"/>
              <w:jc w:val="center"/>
              <w:rPr>
                <w:rFonts w:ascii="宋体" w:hAnsi="宋体" w:cs="Arial"/>
                <w:color w:val="auto"/>
                <w:kern w:val="0"/>
                <w:sz w:val="24"/>
                <w:highlight w:val="none"/>
              </w:rPr>
            </w:pPr>
          </w:p>
        </w:tc>
      </w:tr>
      <w:tr w14:paraId="76166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96" w:type="dxa"/>
            <w:tcBorders>
              <w:top w:val="single" w:color="auto" w:sz="4" w:space="0"/>
              <w:left w:val="single" w:color="auto" w:sz="4" w:space="0"/>
              <w:bottom w:val="single" w:color="auto" w:sz="4" w:space="0"/>
              <w:right w:val="single" w:color="auto" w:sz="4" w:space="0"/>
            </w:tcBorders>
            <w:vAlign w:val="center"/>
          </w:tcPr>
          <w:p w14:paraId="593C418E">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w:t>
            </w:r>
          </w:p>
        </w:tc>
        <w:tc>
          <w:tcPr>
            <w:tcW w:w="1552" w:type="dxa"/>
            <w:tcBorders>
              <w:top w:val="single" w:color="auto" w:sz="4" w:space="0"/>
              <w:left w:val="single" w:color="auto" w:sz="4" w:space="0"/>
              <w:bottom w:val="single" w:color="auto" w:sz="4" w:space="0"/>
              <w:right w:val="single" w:color="auto" w:sz="4" w:space="0"/>
            </w:tcBorders>
            <w:vAlign w:val="center"/>
          </w:tcPr>
          <w:p w14:paraId="4D2F3676">
            <w:pPr>
              <w:widowControl/>
              <w:snapToGrid w:val="0"/>
              <w:spacing w:line="360" w:lineRule="auto"/>
              <w:jc w:val="center"/>
              <w:rPr>
                <w:rFonts w:ascii="宋体" w:hAnsi="宋体" w:cs="Arial"/>
                <w:b/>
                <w:bCs/>
                <w:color w:val="auto"/>
                <w:kern w:val="0"/>
                <w:sz w:val="24"/>
                <w:highlight w:val="none"/>
              </w:rPr>
            </w:pPr>
          </w:p>
        </w:tc>
        <w:tc>
          <w:tcPr>
            <w:tcW w:w="1771" w:type="dxa"/>
            <w:tcBorders>
              <w:top w:val="single" w:color="auto" w:sz="4" w:space="0"/>
              <w:left w:val="single" w:color="auto" w:sz="4" w:space="0"/>
              <w:bottom w:val="single" w:color="auto" w:sz="4" w:space="0"/>
              <w:right w:val="single" w:color="auto" w:sz="4" w:space="0"/>
            </w:tcBorders>
            <w:vAlign w:val="center"/>
          </w:tcPr>
          <w:p w14:paraId="3E281E7E">
            <w:pPr>
              <w:widowControl/>
              <w:snapToGrid w:val="0"/>
              <w:spacing w:line="360" w:lineRule="auto"/>
              <w:jc w:val="center"/>
              <w:rPr>
                <w:rFonts w:ascii="宋体" w:hAnsi="宋体" w:cs="Arial"/>
                <w:color w:val="auto"/>
                <w:kern w:val="0"/>
                <w:sz w:val="24"/>
                <w:highlight w:val="none"/>
              </w:rPr>
            </w:pPr>
          </w:p>
        </w:tc>
        <w:tc>
          <w:tcPr>
            <w:tcW w:w="973" w:type="dxa"/>
            <w:tcBorders>
              <w:top w:val="single" w:color="auto" w:sz="4" w:space="0"/>
              <w:left w:val="single" w:color="auto" w:sz="4" w:space="0"/>
              <w:bottom w:val="single" w:color="auto" w:sz="4" w:space="0"/>
              <w:right w:val="single" w:color="auto" w:sz="4" w:space="0"/>
            </w:tcBorders>
            <w:vAlign w:val="center"/>
          </w:tcPr>
          <w:p w14:paraId="4F3586FD">
            <w:pPr>
              <w:widowControl/>
              <w:snapToGrid w:val="0"/>
              <w:spacing w:line="360" w:lineRule="auto"/>
              <w:jc w:val="center"/>
              <w:rPr>
                <w:rFonts w:ascii="宋体" w:hAnsi="宋体" w:cs="Arial"/>
                <w:color w:val="auto"/>
                <w:kern w:val="0"/>
                <w:sz w:val="24"/>
                <w:highlight w:val="none"/>
              </w:rPr>
            </w:pPr>
          </w:p>
        </w:tc>
        <w:tc>
          <w:tcPr>
            <w:tcW w:w="926" w:type="dxa"/>
            <w:tcBorders>
              <w:top w:val="single" w:color="auto" w:sz="4" w:space="0"/>
              <w:left w:val="single" w:color="auto" w:sz="4" w:space="0"/>
              <w:bottom w:val="single" w:color="auto" w:sz="4" w:space="0"/>
              <w:right w:val="single" w:color="auto" w:sz="4" w:space="0"/>
            </w:tcBorders>
            <w:vAlign w:val="center"/>
          </w:tcPr>
          <w:p w14:paraId="41DC0067">
            <w:pPr>
              <w:widowControl/>
              <w:snapToGrid w:val="0"/>
              <w:spacing w:line="360" w:lineRule="auto"/>
              <w:jc w:val="center"/>
              <w:rPr>
                <w:rFonts w:ascii="宋体" w:hAnsi="宋体" w:cs="Arial"/>
                <w:color w:val="auto"/>
                <w:kern w:val="0"/>
                <w:sz w:val="24"/>
                <w:highlight w:val="none"/>
              </w:rPr>
            </w:pPr>
          </w:p>
        </w:tc>
        <w:tc>
          <w:tcPr>
            <w:tcW w:w="858" w:type="dxa"/>
            <w:tcBorders>
              <w:top w:val="single" w:color="auto" w:sz="4" w:space="0"/>
              <w:left w:val="single" w:color="auto" w:sz="4" w:space="0"/>
              <w:bottom w:val="single" w:color="auto" w:sz="4" w:space="0"/>
              <w:right w:val="single" w:color="auto" w:sz="4" w:space="0"/>
            </w:tcBorders>
            <w:vAlign w:val="center"/>
          </w:tcPr>
          <w:p w14:paraId="49D7A90E">
            <w:pPr>
              <w:widowControl/>
              <w:snapToGrid w:val="0"/>
              <w:spacing w:line="360" w:lineRule="auto"/>
              <w:jc w:val="center"/>
              <w:rPr>
                <w:rFonts w:ascii="宋体" w:hAnsi="宋体" w:cs="Arial"/>
                <w:color w:val="auto"/>
                <w:kern w:val="0"/>
                <w:sz w:val="24"/>
                <w:highlight w:val="none"/>
              </w:rPr>
            </w:pPr>
          </w:p>
        </w:tc>
        <w:tc>
          <w:tcPr>
            <w:tcW w:w="1001" w:type="dxa"/>
            <w:tcBorders>
              <w:top w:val="single" w:color="auto" w:sz="4" w:space="0"/>
              <w:left w:val="single" w:color="auto" w:sz="4" w:space="0"/>
              <w:bottom w:val="single" w:color="auto" w:sz="4" w:space="0"/>
              <w:right w:val="single" w:color="auto" w:sz="4" w:space="0"/>
            </w:tcBorders>
            <w:vAlign w:val="center"/>
          </w:tcPr>
          <w:p w14:paraId="4B67DDF4">
            <w:pPr>
              <w:widowControl/>
              <w:snapToGrid w:val="0"/>
              <w:spacing w:line="360" w:lineRule="auto"/>
              <w:jc w:val="center"/>
              <w:rPr>
                <w:rFonts w:ascii="宋体" w:hAnsi="宋体" w:cs="Arial"/>
                <w:color w:val="auto"/>
                <w:kern w:val="0"/>
                <w:sz w:val="24"/>
                <w:highlight w:val="none"/>
              </w:rPr>
            </w:pPr>
          </w:p>
        </w:tc>
      </w:tr>
      <w:tr w14:paraId="1186A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4319" w:type="dxa"/>
            <w:gridSpan w:val="3"/>
            <w:tcBorders>
              <w:top w:val="single" w:color="auto" w:sz="4" w:space="0"/>
              <w:left w:val="single" w:color="auto" w:sz="4" w:space="0"/>
              <w:bottom w:val="single" w:color="auto" w:sz="4" w:space="0"/>
              <w:right w:val="single" w:color="auto" w:sz="4" w:space="0"/>
            </w:tcBorders>
            <w:vAlign w:val="center"/>
          </w:tcPr>
          <w:p w14:paraId="0CFCE6EC">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总价</w:t>
            </w:r>
          </w:p>
        </w:tc>
        <w:tc>
          <w:tcPr>
            <w:tcW w:w="3758" w:type="dxa"/>
            <w:gridSpan w:val="4"/>
            <w:tcBorders>
              <w:top w:val="single" w:color="auto" w:sz="4" w:space="0"/>
              <w:left w:val="single" w:color="auto" w:sz="4" w:space="0"/>
              <w:bottom w:val="single" w:color="auto" w:sz="4" w:space="0"/>
              <w:right w:val="single" w:color="auto" w:sz="4" w:space="0"/>
            </w:tcBorders>
            <w:vAlign w:val="center"/>
          </w:tcPr>
          <w:p w14:paraId="5060623B">
            <w:pPr>
              <w:widowControl/>
              <w:snapToGrid w:val="0"/>
              <w:spacing w:line="360" w:lineRule="auto"/>
              <w:jc w:val="center"/>
              <w:rPr>
                <w:rFonts w:ascii="宋体" w:hAnsi="宋体" w:cs="Arial"/>
                <w:color w:val="auto"/>
                <w:kern w:val="0"/>
                <w:sz w:val="24"/>
                <w:highlight w:val="none"/>
              </w:rPr>
            </w:pPr>
          </w:p>
        </w:tc>
      </w:tr>
    </w:tbl>
    <w:p w14:paraId="24007F0C">
      <w:pPr>
        <w:pStyle w:val="8"/>
        <w:rPr>
          <w:color w:val="auto"/>
          <w:highlight w:val="none"/>
        </w:rPr>
      </w:pPr>
    </w:p>
    <w:p w14:paraId="7E0E764F">
      <w:pPr>
        <w:tabs>
          <w:tab w:val="left" w:pos="1800"/>
          <w:tab w:val="left" w:pos="5580"/>
        </w:tabs>
        <w:jc w:val="left"/>
        <w:rPr>
          <w:color w:val="auto"/>
          <w:sz w:val="24"/>
          <w:highlight w:val="none"/>
        </w:rPr>
      </w:pPr>
    </w:p>
    <w:p w14:paraId="0E927A82">
      <w:pPr>
        <w:tabs>
          <w:tab w:val="left" w:pos="1800"/>
          <w:tab w:val="left" w:pos="5580"/>
        </w:tabs>
        <w:jc w:val="left"/>
        <w:rPr>
          <w:color w:val="auto"/>
          <w:sz w:val="24"/>
          <w:highlight w:val="none"/>
        </w:rPr>
      </w:pPr>
      <w:r>
        <w:rPr>
          <w:color w:val="auto"/>
          <w:sz w:val="24"/>
          <w:highlight w:val="none"/>
        </w:rPr>
        <w:t>注：1.本表应按包分别填写。</w:t>
      </w:r>
    </w:p>
    <w:p w14:paraId="00ECA2D9">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2.如果不提供分项报价将视为没有实质性响应磋商文件</w:t>
      </w:r>
    </w:p>
    <w:p w14:paraId="24FA6C3B">
      <w:pPr>
        <w:tabs>
          <w:tab w:val="left" w:pos="1800"/>
          <w:tab w:val="left" w:pos="5580"/>
        </w:tabs>
        <w:ind w:firstLine="480" w:firstLineChars="200"/>
        <w:jc w:val="left"/>
        <w:rPr>
          <w:color w:val="auto"/>
          <w:sz w:val="24"/>
          <w:highlight w:val="none"/>
        </w:rPr>
      </w:pPr>
      <w:r>
        <w:rPr>
          <w:color w:val="auto"/>
          <w:sz w:val="24"/>
          <w:highlight w:val="none"/>
        </w:rPr>
        <w:t>3.</w:t>
      </w:r>
      <w:r>
        <w:rPr>
          <w:rFonts w:hint="eastAsia"/>
          <w:color w:val="auto"/>
          <w:sz w:val="24"/>
          <w:highlight w:val="none"/>
        </w:rPr>
        <w:t>本表行数可以按照项目分项情况增加。</w:t>
      </w:r>
    </w:p>
    <w:p w14:paraId="362B1F7C">
      <w:pPr>
        <w:tabs>
          <w:tab w:val="left" w:pos="1800"/>
          <w:tab w:val="left" w:pos="5580"/>
        </w:tabs>
        <w:ind w:firstLine="480" w:firstLineChars="200"/>
        <w:jc w:val="left"/>
        <w:rPr>
          <w:color w:val="auto"/>
          <w:sz w:val="24"/>
          <w:highlight w:val="none"/>
        </w:rPr>
      </w:pPr>
      <w:r>
        <w:rPr>
          <w:rFonts w:hint="eastAsia"/>
          <w:color w:val="auto"/>
          <w:sz w:val="24"/>
          <w:highlight w:val="none"/>
        </w:rPr>
        <w:t>4.</w:t>
      </w:r>
      <w:r>
        <w:rPr>
          <w:color w:val="auto"/>
          <w:sz w:val="24"/>
          <w:highlight w:val="none"/>
        </w:rPr>
        <w:t>上述各项的</w:t>
      </w:r>
      <w:r>
        <w:rPr>
          <w:rFonts w:hint="eastAsia"/>
          <w:color w:val="auto"/>
          <w:sz w:val="24"/>
          <w:highlight w:val="none"/>
        </w:rPr>
        <w:t>服务内容如表格中填写不下的</w:t>
      </w:r>
      <w:r>
        <w:rPr>
          <w:color w:val="auto"/>
          <w:sz w:val="24"/>
          <w:highlight w:val="none"/>
        </w:rPr>
        <w:t>，可</w:t>
      </w:r>
      <w:r>
        <w:rPr>
          <w:rFonts w:hint="eastAsia"/>
          <w:color w:val="auto"/>
          <w:sz w:val="24"/>
          <w:highlight w:val="none"/>
        </w:rPr>
        <w:t>以逐项</w:t>
      </w:r>
      <w:r>
        <w:rPr>
          <w:color w:val="auto"/>
          <w:sz w:val="24"/>
          <w:highlight w:val="none"/>
        </w:rPr>
        <w:t>另页描述。</w:t>
      </w:r>
    </w:p>
    <w:p w14:paraId="33CD6D50">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5D42991">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：____________</w:t>
      </w:r>
    </w:p>
    <w:p w14:paraId="17567912">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A846B57">
      <w:pPr>
        <w:widowControl/>
        <w:jc w:val="left"/>
        <w:rPr>
          <w:rFonts w:asciiTheme="minorEastAsia" w:hAnsiTheme="minorEastAsia"/>
          <w:color w:val="auto"/>
          <w:sz w:val="24"/>
          <w:szCs w:val="20"/>
          <w:highlight w:val="none"/>
        </w:rPr>
      </w:pPr>
      <w:r>
        <w:rPr>
          <w:rFonts w:asciiTheme="minorEastAsia" w:hAnsiTheme="minorEastAsia"/>
          <w:color w:val="auto"/>
          <w:sz w:val="24"/>
          <w:szCs w:val="20"/>
          <w:highlight w:val="none"/>
        </w:rPr>
        <w:br w:type="page"/>
      </w:r>
    </w:p>
    <w:bookmarkEnd w:id="512"/>
    <w:p w14:paraId="0A6A6E89">
      <w:pPr>
        <w:spacing w:line="360" w:lineRule="auto"/>
        <w:jc w:val="left"/>
        <w:outlineLvl w:val="2"/>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6</w:t>
      </w:r>
      <w:r>
        <w:rPr>
          <w:rFonts w:asciiTheme="minorEastAsia" w:hAnsiTheme="minorEastAsia"/>
          <w:color w:val="auto"/>
          <w:sz w:val="24"/>
          <w:szCs w:val="20"/>
          <w:highlight w:val="none"/>
        </w:rPr>
        <w:t>合同条款偏离表</w:t>
      </w:r>
    </w:p>
    <w:p w14:paraId="3BBF20C1">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合同条款偏离表</w:t>
      </w:r>
    </w:p>
    <w:p w14:paraId="539FE9F0">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项目编</w:t>
      </w:r>
      <w:r>
        <w:rPr>
          <w:rFonts w:hint="eastAsia" w:asciiTheme="minorEastAsia" w:hAnsiTheme="minorEastAsia"/>
          <w:bCs/>
          <w:color w:val="auto"/>
          <w:sz w:val="24"/>
          <w:highlight w:val="none"/>
        </w:rPr>
        <w:t>号/分包号</w:t>
      </w:r>
      <w:r>
        <w:rPr>
          <w:rFonts w:asciiTheme="minorEastAsia" w:hAnsiTheme="minorEastAsia"/>
          <w:bCs/>
          <w:color w:val="auto"/>
          <w:sz w:val="24"/>
          <w:highlight w:val="none"/>
        </w:rPr>
        <w:t>：_______________     项目名称：_____________________</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912"/>
        <w:gridCol w:w="1647"/>
        <w:gridCol w:w="1631"/>
        <w:gridCol w:w="1644"/>
        <w:gridCol w:w="876"/>
      </w:tblGrid>
      <w:tr w14:paraId="12FC2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0" w:type="dxa"/>
            <w:gridSpan w:val="6"/>
            <w:vAlign w:val="center"/>
          </w:tcPr>
          <w:p w14:paraId="6383E7FE">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对本项目合同条款的偏离情况（请进行勾选）：</w:t>
            </w:r>
          </w:p>
          <w:p w14:paraId="7165CA8E">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□无偏离（如无偏离，仅勾选无偏离即可）</w:t>
            </w:r>
          </w:p>
          <w:p w14:paraId="21B1CF77">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□有偏离（如有偏离，则须在本表中对偏离项逐一列明）</w:t>
            </w:r>
          </w:p>
        </w:tc>
      </w:tr>
      <w:tr w14:paraId="1AD88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28CD8316">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序号</w:t>
            </w:r>
          </w:p>
        </w:tc>
        <w:tc>
          <w:tcPr>
            <w:tcW w:w="1985" w:type="dxa"/>
            <w:vAlign w:val="center"/>
          </w:tcPr>
          <w:p w14:paraId="3ADB9C2F">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磋商文件条目号（页码）</w:t>
            </w:r>
          </w:p>
        </w:tc>
        <w:tc>
          <w:tcPr>
            <w:tcW w:w="1718" w:type="dxa"/>
            <w:vAlign w:val="center"/>
          </w:tcPr>
          <w:p w14:paraId="1E1F0525">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磋商文件要求</w:t>
            </w:r>
          </w:p>
        </w:tc>
        <w:tc>
          <w:tcPr>
            <w:tcW w:w="1701" w:type="dxa"/>
            <w:vAlign w:val="center"/>
          </w:tcPr>
          <w:p w14:paraId="58F5B229">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响应文件内容</w:t>
            </w:r>
          </w:p>
        </w:tc>
        <w:tc>
          <w:tcPr>
            <w:tcW w:w="1701" w:type="dxa"/>
            <w:vAlign w:val="center"/>
          </w:tcPr>
          <w:p w14:paraId="28D99253">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偏离情况</w:t>
            </w:r>
          </w:p>
          <w:p w14:paraId="27244576">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（据实填写）</w:t>
            </w:r>
          </w:p>
        </w:tc>
        <w:tc>
          <w:tcPr>
            <w:tcW w:w="901" w:type="dxa"/>
            <w:vAlign w:val="center"/>
          </w:tcPr>
          <w:p w14:paraId="22821959">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说明</w:t>
            </w:r>
          </w:p>
        </w:tc>
      </w:tr>
      <w:tr w14:paraId="0A7E8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07945E2">
            <w:pPr>
              <w:spacing w:line="360" w:lineRule="auto"/>
              <w:contextualSpacing/>
              <w:jc w:val="left"/>
              <w:rPr>
                <w:rFonts w:asciiTheme="minorEastAsia" w:hAnsiTheme="minorEastAsia"/>
                <w:bCs/>
                <w:color w:val="auto"/>
                <w:sz w:val="24"/>
                <w:highlight w:val="none"/>
              </w:rPr>
            </w:pPr>
          </w:p>
        </w:tc>
        <w:tc>
          <w:tcPr>
            <w:tcW w:w="1985" w:type="dxa"/>
            <w:vAlign w:val="center"/>
          </w:tcPr>
          <w:p w14:paraId="45F7C464">
            <w:pPr>
              <w:spacing w:line="360" w:lineRule="auto"/>
              <w:contextualSpacing/>
              <w:jc w:val="left"/>
              <w:rPr>
                <w:rFonts w:asciiTheme="minorEastAsia" w:hAnsiTheme="minorEastAsia"/>
                <w:bCs/>
                <w:color w:val="auto"/>
                <w:sz w:val="24"/>
                <w:highlight w:val="none"/>
              </w:rPr>
            </w:pPr>
          </w:p>
        </w:tc>
        <w:tc>
          <w:tcPr>
            <w:tcW w:w="1718" w:type="dxa"/>
            <w:vAlign w:val="center"/>
          </w:tcPr>
          <w:p w14:paraId="54D326D7">
            <w:pPr>
              <w:spacing w:line="360" w:lineRule="auto"/>
              <w:contextualSpacing/>
              <w:jc w:val="left"/>
              <w:rPr>
                <w:rFonts w:asciiTheme="minorEastAsia" w:hAnsiTheme="minorEastAsia"/>
                <w:bCs/>
                <w:color w:val="auto"/>
                <w:sz w:val="24"/>
                <w:highlight w:val="none"/>
              </w:rPr>
            </w:pPr>
          </w:p>
        </w:tc>
        <w:tc>
          <w:tcPr>
            <w:tcW w:w="1701" w:type="dxa"/>
            <w:vAlign w:val="center"/>
          </w:tcPr>
          <w:p w14:paraId="5590F83C">
            <w:pPr>
              <w:spacing w:line="360" w:lineRule="auto"/>
              <w:contextualSpacing/>
              <w:jc w:val="left"/>
              <w:rPr>
                <w:rFonts w:asciiTheme="minorEastAsia" w:hAnsiTheme="minorEastAsia"/>
                <w:bCs/>
                <w:color w:val="auto"/>
                <w:sz w:val="24"/>
                <w:highlight w:val="none"/>
              </w:rPr>
            </w:pPr>
          </w:p>
        </w:tc>
        <w:tc>
          <w:tcPr>
            <w:tcW w:w="1701" w:type="dxa"/>
            <w:vAlign w:val="center"/>
          </w:tcPr>
          <w:p w14:paraId="53429324">
            <w:pPr>
              <w:spacing w:line="360" w:lineRule="auto"/>
              <w:contextualSpacing/>
              <w:jc w:val="left"/>
              <w:rPr>
                <w:rFonts w:asciiTheme="minorEastAsia" w:hAnsiTheme="minorEastAsia"/>
                <w:bCs/>
                <w:color w:val="auto"/>
                <w:sz w:val="24"/>
                <w:highlight w:val="none"/>
              </w:rPr>
            </w:pPr>
          </w:p>
        </w:tc>
        <w:tc>
          <w:tcPr>
            <w:tcW w:w="901" w:type="dxa"/>
            <w:vAlign w:val="center"/>
          </w:tcPr>
          <w:p w14:paraId="24FF5C10">
            <w:pPr>
              <w:spacing w:line="360" w:lineRule="auto"/>
              <w:contextualSpacing/>
              <w:jc w:val="left"/>
              <w:rPr>
                <w:rFonts w:asciiTheme="minorEastAsia" w:hAnsiTheme="minorEastAsia"/>
                <w:bCs/>
                <w:color w:val="auto"/>
                <w:sz w:val="24"/>
                <w:highlight w:val="none"/>
              </w:rPr>
            </w:pPr>
          </w:p>
        </w:tc>
      </w:tr>
      <w:tr w14:paraId="1A0C3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53231C6">
            <w:pPr>
              <w:spacing w:line="360" w:lineRule="auto"/>
              <w:contextualSpacing/>
              <w:jc w:val="left"/>
              <w:rPr>
                <w:rFonts w:asciiTheme="minorEastAsia" w:hAnsiTheme="minorEastAsia"/>
                <w:bCs/>
                <w:color w:val="auto"/>
                <w:sz w:val="24"/>
                <w:highlight w:val="none"/>
              </w:rPr>
            </w:pPr>
          </w:p>
        </w:tc>
        <w:tc>
          <w:tcPr>
            <w:tcW w:w="1985" w:type="dxa"/>
            <w:vAlign w:val="center"/>
          </w:tcPr>
          <w:p w14:paraId="1F525F3A">
            <w:pPr>
              <w:spacing w:line="360" w:lineRule="auto"/>
              <w:contextualSpacing/>
              <w:jc w:val="left"/>
              <w:rPr>
                <w:rFonts w:asciiTheme="minorEastAsia" w:hAnsiTheme="minorEastAsia"/>
                <w:bCs/>
                <w:color w:val="auto"/>
                <w:sz w:val="24"/>
                <w:highlight w:val="none"/>
              </w:rPr>
            </w:pPr>
          </w:p>
        </w:tc>
        <w:tc>
          <w:tcPr>
            <w:tcW w:w="1718" w:type="dxa"/>
            <w:vAlign w:val="center"/>
          </w:tcPr>
          <w:p w14:paraId="4194A2E5">
            <w:pPr>
              <w:spacing w:line="360" w:lineRule="auto"/>
              <w:contextualSpacing/>
              <w:jc w:val="left"/>
              <w:rPr>
                <w:rFonts w:asciiTheme="minorEastAsia" w:hAnsiTheme="minorEastAsia"/>
                <w:bCs/>
                <w:color w:val="auto"/>
                <w:sz w:val="24"/>
                <w:highlight w:val="none"/>
              </w:rPr>
            </w:pPr>
          </w:p>
        </w:tc>
        <w:tc>
          <w:tcPr>
            <w:tcW w:w="1701" w:type="dxa"/>
            <w:vAlign w:val="center"/>
          </w:tcPr>
          <w:p w14:paraId="33067492">
            <w:pPr>
              <w:spacing w:line="360" w:lineRule="auto"/>
              <w:contextualSpacing/>
              <w:jc w:val="left"/>
              <w:rPr>
                <w:rFonts w:asciiTheme="minorEastAsia" w:hAnsiTheme="minorEastAsia"/>
                <w:bCs/>
                <w:color w:val="auto"/>
                <w:sz w:val="24"/>
                <w:highlight w:val="none"/>
              </w:rPr>
            </w:pPr>
          </w:p>
        </w:tc>
        <w:tc>
          <w:tcPr>
            <w:tcW w:w="1701" w:type="dxa"/>
            <w:vAlign w:val="center"/>
          </w:tcPr>
          <w:p w14:paraId="6A76A762">
            <w:pPr>
              <w:spacing w:line="360" w:lineRule="auto"/>
              <w:contextualSpacing/>
              <w:jc w:val="left"/>
              <w:rPr>
                <w:rFonts w:asciiTheme="minorEastAsia" w:hAnsiTheme="minorEastAsia"/>
                <w:bCs/>
                <w:color w:val="auto"/>
                <w:sz w:val="24"/>
                <w:highlight w:val="none"/>
              </w:rPr>
            </w:pPr>
          </w:p>
        </w:tc>
        <w:tc>
          <w:tcPr>
            <w:tcW w:w="901" w:type="dxa"/>
            <w:vAlign w:val="center"/>
          </w:tcPr>
          <w:p w14:paraId="150BFF4D">
            <w:pPr>
              <w:spacing w:line="360" w:lineRule="auto"/>
              <w:contextualSpacing/>
              <w:jc w:val="left"/>
              <w:rPr>
                <w:rFonts w:asciiTheme="minorEastAsia" w:hAnsiTheme="minorEastAsia"/>
                <w:bCs/>
                <w:color w:val="auto"/>
                <w:sz w:val="24"/>
                <w:highlight w:val="none"/>
              </w:rPr>
            </w:pPr>
          </w:p>
        </w:tc>
      </w:tr>
      <w:tr w14:paraId="227B5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75BA116B">
            <w:pPr>
              <w:spacing w:line="360" w:lineRule="auto"/>
              <w:contextualSpacing/>
              <w:jc w:val="left"/>
              <w:rPr>
                <w:rFonts w:asciiTheme="minorEastAsia" w:hAnsiTheme="minorEastAsia"/>
                <w:bCs/>
                <w:color w:val="auto"/>
                <w:sz w:val="24"/>
                <w:highlight w:val="none"/>
              </w:rPr>
            </w:pPr>
          </w:p>
        </w:tc>
        <w:tc>
          <w:tcPr>
            <w:tcW w:w="1985" w:type="dxa"/>
            <w:vAlign w:val="center"/>
          </w:tcPr>
          <w:p w14:paraId="0ADC68E7">
            <w:pPr>
              <w:spacing w:line="360" w:lineRule="auto"/>
              <w:contextualSpacing/>
              <w:jc w:val="left"/>
              <w:rPr>
                <w:rFonts w:asciiTheme="minorEastAsia" w:hAnsiTheme="minorEastAsia"/>
                <w:bCs/>
                <w:color w:val="auto"/>
                <w:sz w:val="24"/>
                <w:highlight w:val="none"/>
              </w:rPr>
            </w:pPr>
          </w:p>
        </w:tc>
        <w:tc>
          <w:tcPr>
            <w:tcW w:w="1718" w:type="dxa"/>
            <w:vAlign w:val="center"/>
          </w:tcPr>
          <w:p w14:paraId="63B2DF1C">
            <w:pPr>
              <w:spacing w:line="360" w:lineRule="auto"/>
              <w:contextualSpacing/>
              <w:jc w:val="left"/>
              <w:rPr>
                <w:rFonts w:asciiTheme="minorEastAsia" w:hAnsiTheme="minorEastAsia"/>
                <w:bCs/>
                <w:color w:val="auto"/>
                <w:sz w:val="24"/>
                <w:highlight w:val="none"/>
              </w:rPr>
            </w:pPr>
          </w:p>
        </w:tc>
        <w:tc>
          <w:tcPr>
            <w:tcW w:w="1701" w:type="dxa"/>
            <w:vAlign w:val="center"/>
          </w:tcPr>
          <w:p w14:paraId="6AEA689C">
            <w:pPr>
              <w:spacing w:line="360" w:lineRule="auto"/>
              <w:contextualSpacing/>
              <w:jc w:val="left"/>
              <w:rPr>
                <w:rFonts w:asciiTheme="minorEastAsia" w:hAnsiTheme="minorEastAsia"/>
                <w:bCs/>
                <w:color w:val="auto"/>
                <w:sz w:val="24"/>
                <w:highlight w:val="none"/>
              </w:rPr>
            </w:pPr>
          </w:p>
        </w:tc>
        <w:tc>
          <w:tcPr>
            <w:tcW w:w="1701" w:type="dxa"/>
            <w:vAlign w:val="center"/>
          </w:tcPr>
          <w:p w14:paraId="108B9AFC">
            <w:pPr>
              <w:spacing w:line="360" w:lineRule="auto"/>
              <w:contextualSpacing/>
              <w:jc w:val="left"/>
              <w:rPr>
                <w:rFonts w:asciiTheme="minorEastAsia" w:hAnsiTheme="minorEastAsia"/>
                <w:bCs/>
                <w:color w:val="auto"/>
                <w:sz w:val="24"/>
                <w:highlight w:val="none"/>
              </w:rPr>
            </w:pPr>
          </w:p>
        </w:tc>
        <w:tc>
          <w:tcPr>
            <w:tcW w:w="901" w:type="dxa"/>
            <w:vAlign w:val="center"/>
          </w:tcPr>
          <w:p w14:paraId="21F59FEB">
            <w:pPr>
              <w:spacing w:line="360" w:lineRule="auto"/>
              <w:contextualSpacing/>
              <w:jc w:val="left"/>
              <w:rPr>
                <w:rFonts w:asciiTheme="minorEastAsia" w:hAnsiTheme="minorEastAsia"/>
                <w:bCs/>
                <w:color w:val="auto"/>
                <w:sz w:val="24"/>
                <w:highlight w:val="none"/>
              </w:rPr>
            </w:pPr>
          </w:p>
        </w:tc>
      </w:tr>
      <w:tr w14:paraId="3E7F2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0E557773">
            <w:pPr>
              <w:spacing w:line="360" w:lineRule="auto"/>
              <w:contextualSpacing/>
              <w:jc w:val="left"/>
              <w:rPr>
                <w:rFonts w:asciiTheme="minorEastAsia" w:hAnsiTheme="minorEastAsia"/>
                <w:bCs/>
                <w:color w:val="auto"/>
                <w:sz w:val="24"/>
                <w:highlight w:val="none"/>
              </w:rPr>
            </w:pPr>
          </w:p>
        </w:tc>
        <w:tc>
          <w:tcPr>
            <w:tcW w:w="1985" w:type="dxa"/>
            <w:vAlign w:val="center"/>
          </w:tcPr>
          <w:p w14:paraId="20713647">
            <w:pPr>
              <w:spacing w:line="360" w:lineRule="auto"/>
              <w:contextualSpacing/>
              <w:jc w:val="left"/>
              <w:rPr>
                <w:rFonts w:asciiTheme="minorEastAsia" w:hAnsiTheme="minorEastAsia"/>
                <w:bCs/>
                <w:color w:val="auto"/>
                <w:sz w:val="24"/>
                <w:highlight w:val="none"/>
              </w:rPr>
            </w:pPr>
          </w:p>
        </w:tc>
        <w:tc>
          <w:tcPr>
            <w:tcW w:w="1718" w:type="dxa"/>
            <w:vAlign w:val="center"/>
          </w:tcPr>
          <w:p w14:paraId="053E5CA3">
            <w:pPr>
              <w:spacing w:line="360" w:lineRule="auto"/>
              <w:contextualSpacing/>
              <w:jc w:val="left"/>
              <w:rPr>
                <w:rFonts w:asciiTheme="minorEastAsia" w:hAnsiTheme="minorEastAsia"/>
                <w:bCs/>
                <w:color w:val="auto"/>
                <w:sz w:val="24"/>
                <w:highlight w:val="none"/>
              </w:rPr>
            </w:pPr>
          </w:p>
        </w:tc>
        <w:tc>
          <w:tcPr>
            <w:tcW w:w="1701" w:type="dxa"/>
            <w:vAlign w:val="center"/>
          </w:tcPr>
          <w:p w14:paraId="516F7D4B">
            <w:pPr>
              <w:spacing w:line="360" w:lineRule="auto"/>
              <w:contextualSpacing/>
              <w:jc w:val="left"/>
              <w:rPr>
                <w:rFonts w:asciiTheme="minorEastAsia" w:hAnsiTheme="minorEastAsia"/>
                <w:bCs/>
                <w:color w:val="auto"/>
                <w:sz w:val="24"/>
                <w:highlight w:val="none"/>
              </w:rPr>
            </w:pPr>
          </w:p>
        </w:tc>
        <w:tc>
          <w:tcPr>
            <w:tcW w:w="1701" w:type="dxa"/>
            <w:vAlign w:val="center"/>
          </w:tcPr>
          <w:p w14:paraId="628798C2">
            <w:pPr>
              <w:spacing w:line="360" w:lineRule="auto"/>
              <w:contextualSpacing/>
              <w:jc w:val="left"/>
              <w:rPr>
                <w:rFonts w:asciiTheme="minorEastAsia" w:hAnsiTheme="minorEastAsia"/>
                <w:bCs/>
                <w:color w:val="auto"/>
                <w:sz w:val="24"/>
                <w:highlight w:val="none"/>
              </w:rPr>
            </w:pPr>
          </w:p>
        </w:tc>
        <w:tc>
          <w:tcPr>
            <w:tcW w:w="901" w:type="dxa"/>
            <w:vAlign w:val="center"/>
          </w:tcPr>
          <w:p w14:paraId="06C775E7">
            <w:pPr>
              <w:spacing w:line="360" w:lineRule="auto"/>
              <w:contextualSpacing/>
              <w:jc w:val="left"/>
              <w:rPr>
                <w:rFonts w:asciiTheme="minorEastAsia" w:hAnsiTheme="minorEastAsia"/>
                <w:bCs/>
                <w:color w:val="auto"/>
                <w:sz w:val="24"/>
                <w:highlight w:val="none"/>
              </w:rPr>
            </w:pPr>
          </w:p>
        </w:tc>
      </w:tr>
    </w:tbl>
    <w:p w14:paraId="49406996">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注：</w:t>
      </w:r>
    </w:p>
    <w:p w14:paraId="2DC3C8FF">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 xml:space="preserve">1. </w:t>
      </w:r>
      <w:r>
        <w:rPr>
          <w:rFonts w:hint="eastAsia" w:asciiTheme="minorEastAsia" w:hAnsiTheme="minorEastAsia"/>
          <w:bCs/>
          <w:color w:val="auto"/>
          <w:sz w:val="24"/>
          <w:highlight w:val="none"/>
        </w:rPr>
        <w:t>对合同条款中的所有要求，除本表所列明的所有偏离外，均视作供应商已对之理解和响应。</w:t>
      </w:r>
    </w:p>
    <w:p w14:paraId="78660012">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 xml:space="preserve">2. </w:t>
      </w:r>
      <w:r>
        <w:rPr>
          <w:rFonts w:hint="eastAsia" w:asciiTheme="minorEastAsia" w:hAnsiTheme="minorEastAsia"/>
          <w:bCs/>
          <w:color w:val="auto"/>
          <w:sz w:val="24"/>
          <w:highlight w:val="none"/>
        </w:rPr>
        <w:t>“偏离情况”列应据实填写“正偏离”或“负偏离”。</w:t>
      </w:r>
    </w:p>
    <w:p w14:paraId="73F967E3">
      <w:pPr>
        <w:spacing w:line="360" w:lineRule="auto"/>
        <w:ind w:firstLine="480" w:firstLineChars="200"/>
        <w:contextualSpacing/>
        <w:jc w:val="left"/>
        <w:rPr>
          <w:rFonts w:asciiTheme="minorEastAsia" w:hAnsiTheme="minorEastAsia"/>
          <w:bCs/>
          <w:color w:val="auto"/>
          <w:sz w:val="24"/>
          <w:highlight w:val="none"/>
        </w:rPr>
      </w:pPr>
    </w:p>
    <w:p w14:paraId="193D7B50">
      <w:pPr>
        <w:spacing w:line="360" w:lineRule="auto"/>
        <w:ind w:firstLine="480" w:firstLineChars="200"/>
        <w:contextualSpacing/>
        <w:jc w:val="left"/>
        <w:rPr>
          <w:rFonts w:asciiTheme="minorEastAsia" w:hAnsiTheme="minorEastAsia"/>
          <w:bCs/>
          <w:color w:val="auto"/>
          <w:sz w:val="24"/>
          <w:highlight w:val="none"/>
        </w:rPr>
      </w:pPr>
    </w:p>
    <w:p w14:paraId="695503E5">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供应商名称（加盖公章）：    ____________</w:t>
      </w:r>
    </w:p>
    <w:p w14:paraId="7E18315C">
      <w:pPr>
        <w:spacing w:line="360" w:lineRule="auto"/>
        <w:ind w:firstLine="480" w:firstLineChars="200"/>
        <w:contextualSpacing/>
        <w:jc w:val="left"/>
        <w:rPr>
          <w:rFonts w:asciiTheme="minorEastAsia" w:hAnsiTheme="minorEastAsia"/>
          <w:bCs/>
          <w:color w:val="auto"/>
          <w:sz w:val="24"/>
          <w:highlight w:val="none"/>
        </w:rPr>
        <w:sectPr>
          <w:pgSz w:w="11906" w:h="16838"/>
          <w:pgMar w:top="1440" w:right="1800" w:bottom="1440" w:left="1800" w:header="851" w:footer="992" w:gutter="0"/>
          <w:cols w:space="0" w:num="1"/>
          <w:docGrid w:type="lines" w:linePitch="312" w:charSpace="0"/>
        </w:sectPr>
      </w:pPr>
      <w:r>
        <w:rPr>
          <w:rFonts w:asciiTheme="minorEastAsia" w:hAnsiTheme="minorEastAsia"/>
          <w:bCs/>
          <w:color w:val="auto"/>
          <w:sz w:val="24"/>
          <w:highlight w:val="none"/>
        </w:rPr>
        <w:t>日期：_____年______月______日</w:t>
      </w:r>
    </w:p>
    <w:p w14:paraId="625B2BE1">
      <w:pPr>
        <w:spacing w:line="360" w:lineRule="auto"/>
        <w:jc w:val="left"/>
        <w:outlineLvl w:val="2"/>
        <w:rPr>
          <w:rFonts w:asciiTheme="minorEastAsia" w:hAnsiTheme="minorEastAsia"/>
          <w:color w:val="auto"/>
          <w:sz w:val="24"/>
          <w:szCs w:val="20"/>
          <w:highlight w:val="none"/>
        </w:rPr>
      </w:pPr>
      <w:r>
        <w:rPr>
          <w:rFonts w:hint="eastAsia" w:asciiTheme="minorEastAsia" w:hAnsiTheme="minorEastAsia"/>
          <w:color w:val="auto"/>
          <w:sz w:val="24"/>
          <w:szCs w:val="20"/>
          <w:highlight w:val="none"/>
        </w:rPr>
        <w:t>7</w:t>
      </w:r>
      <w:r>
        <w:rPr>
          <w:rFonts w:asciiTheme="minorEastAsia" w:hAnsiTheme="minorEastAsia"/>
          <w:color w:val="auto"/>
          <w:sz w:val="24"/>
          <w:szCs w:val="20"/>
          <w:highlight w:val="none"/>
        </w:rPr>
        <w:t>采购需求偏离表</w:t>
      </w:r>
    </w:p>
    <w:p w14:paraId="202F3A44">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采购需求偏离表</w:t>
      </w:r>
    </w:p>
    <w:p w14:paraId="4C7C8A3B">
      <w:pPr>
        <w:jc w:val="left"/>
        <w:rPr>
          <w:rFonts w:asciiTheme="minorEastAsia" w:hAnsiTheme="minorEastAsia"/>
          <w:color w:val="auto"/>
          <w:sz w:val="36"/>
          <w:szCs w:val="36"/>
          <w:highlight w:val="none"/>
        </w:rPr>
      </w:pPr>
    </w:p>
    <w:p w14:paraId="4C74F442">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项目编号</w:t>
      </w:r>
      <w:r>
        <w:rPr>
          <w:rFonts w:hint="eastAsia" w:asciiTheme="minorEastAsia" w:hAnsiTheme="minorEastAsia"/>
          <w:bCs/>
          <w:color w:val="auto"/>
          <w:sz w:val="24"/>
          <w:highlight w:val="none"/>
        </w:rPr>
        <w:t>/分包号</w:t>
      </w:r>
      <w:r>
        <w:rPr>
          <w:rFonts w:asciiTheme="minorEastAsia" w:hAnsiTheme="minorEastAsia"/>
          <w:bCs/>
          <w:color w:val="auto"/>
          <w:sz w:val="24"/>
          <w:highlight w:val="none"/>
        </w:rPr>
        <w:t>：_____________________项目名称_______________________</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1860"/>
        <w:gridCol w:w="1596"/>
        <w:gridCol w:w="1581"/>
        <w:gridCol w:w="1604"/>
        <w:gridCol w:w="858"/>
      </w:tblGrid>
      <w:tr w14:paraId="0B07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96" w:type="dxa"/>
            <w:gridSpan w:val="6"/>
            <w:vAlign w:val="center"/>
          </w:tcPr>
          <w:p w14:paraId="61CC159A">
            <w:pPr>
              <w:spacing w:line="276" w:lineRule="auto"/>
              <w:ind w:left="228" w:hanging="228"/>
              <w:contextualSpacing/>
              <w:jc w:val="left"/>
              <w:rPr>
                <w:rFonts w:ascii="等线" w:hAnsi="等线"/>
                <w:bCs/>
                <w:color w:val="auto"/>
                <w:sz w:val="24"/>
                <w:highlight w:val="none"/>
              </w:rPr>
            </w:pPr>
            <w:r>
              <w:rPr>
                <w:rFonts w:hint="eastAsia" w:ascii="等线" w:hAnsi="等线"/>
                <w:bCs/>
                <w:color w:val="auto"/>
                <w:sz w:val="24"/>
                <w:highlight w:val="none"/>
              </w:rPr>
              <w:t>对本项目采购需求偏离情况（请进行勾选）：</w:t>
            </w:r>
          </w:p>
          <w:p w14:paraId="57690C6C">
            <w:pPr>
              <w:spacing w:line="276" w:lineRule="auto"/>
              <w:ind w:left="228" w:hanging="228"/>
              <w:contextualSpacing/>
              <w:jc w:val="left"/>
              <w:rPr>
                <w:rFonts w:ascii="等线" w:hAnsi="等线"/>
                <w:bCs/>
                <w:color w:val="auto"/>
                <w:sz w:val="24"/>
                <w:highlight w:val="none"/>
              </w:rPr>
            </w:pPr>
            <w:r>
              <w:rPr>
                <w:rFonts w:ascii="等线" w:hAnsi="等线"/>
                <w:bCs/>
                <w:color w:val="auto"/>
                <w:sz w:val="24"/>
                <w:highlight w:val="none"/>
              </w:rPr>
              <w:t>□无偏离（如无偏离，仅勾选无偏离即可）</w:t>
            </w:r>
          </w:p>
          <w:p w14:paraId="7F35E9CC">
            <w:pPr>
              <w:spacing w:line="276" w:lineRule="auto"/>
              <w:contextualSpacing/>
              <w:jc w:val="left"/>
              <w:rPr>
                <w:rFonts w:asciiTheme="minorEastAsia" w:hAnsiTheme="minorEastAsia"/>
                <w:bCs/>
                <w:color w:val="auto"/>
                <w:sz w:val="24"/>
                <w:highlight w:val="none"/>
              </w:rPr>
            </w:pPr>
            <w:r>
              <w:rPr>
                <w:rFonts w:ascii="等线" w:hAnsi="等线"/>
                <w:bCs/>
                <w:color w:val="auto"/>
                <w:sz w:val="24"/>
                <w:highlight w:val="none"/>
              </w:rPr>
              <w:t>□有偏离（如有偏离，则须在本表中对偏离项逐一列明）</w:t>
            </w:r>
          </w:p>
        </w:tc>
      </w:tr>
      <w:tr w14:paraId="01C2F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7" w:type="dxa"/>
            <w:vAlign w:val="center"/>
          </w:tcPr>
          <w:p w14:paraId="4079DD6C">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序号</w:t>
            </w:r>
          </w:p>
        </w:tc>
        <w:tc>
          <w:tcPr>
            <w:tcW w:w="1860" w:type="dxa"/>
            <w:vAlign w:val="center"/>
          </w:tcPr>
          <w:p w14:paraId="1876C1C1">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磋商文件条目号（页码）</w:t>
            </w:r>
          </w:p>
        </w:tc>
        <w:tc>
          <w:tcPr>
            <w:tcW w:w="1596" w:type="dxa"/>
            <w:vAlign w:val="center"/>
          </w:tcPr>
          <w:p w14:paraId="2132385D">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磋商文件要求</w:t>
            </w:r>
          </w:p>
        </w:tc>
        <w:tc>
          <w:tcPr>
            <w:tcW w:w="1581" w:type="dxa"/>
            <w:vAlign w:val="center"/>
          </w:tcPr>
          <w:p w14:paraId="30F1C82E">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响应文件内容</w:t>
            </w:r>
          </w:p>
        </w:tc>
        <w:tc>
          <w:tcPr>
            <w:tcW w:w="1604" w:type="dxa"/>
            <w:vAlign w:val="center"/>
          </w:tcPr>
          <w:p w14:paraId="67479124">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偏离情况</w:t>
            </w:r>
          </w:p>
          <w:p w14:paraId="12B7DA16">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（据实填写）</w:t>
            </w:r>
          </w:p>
        </w:tc>
        <w:tc>
          <w:tcPr>
            <w:tcW w:w="858" w:type="dxa"/>
            <w:vAlign w:val="center"/>
          </w:tcPr>
          <w:p w14:paraId="3606D452">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说明</w:t>
            </w:r>
          </w:p>
        </w:tc>
      </w:tr>
      <w:tr w14:paraId="367D4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7" w:type="dxa"/>
            <w:vAlign w:val="center"/>
          </w:tcPr>
          <w:p w14:paraId="64FE404E">
            <w:pPr>
              <w:spacing w:line="360" w:lineRule="auto"/>
              <w:contextualSpacing/>
              <w:jc w:val="left"/>
              <w:rPr>
                <w:rFonts w:asciiTheme="minorEastAsia" w:hAnsiTheme="minorEastAsia"/>
                <w:bCs/>
                <w:color w:val="auto"/>
                <w:sz w:val="24"/>
                <w:highlight w:val="none"/>
              </w:rPr>
            </w:pPr>
          </w:p>
        </w:tc>
        <w:tc>
          <w:tcPr>
            <w:tcW w:w="1860" w:type="dxa"/>
            <w:vAlign w:val="center"/>
          </w:tcPr>
          <w:p w14:paraId="505928C9">
            <w:pPr>
              <w:spacing w:line="360" w:lineRule="auto"/>
              <w:contextualSpacing/>
              <w:jc w:val="left"/>
              <w:rPr>
                <w:rFonts w:asciiTheme="minorEastAsia" w:hAnsiTheme="minorEastAsia"/>
                <w:bCs/>
                <w:color w:val="auto"/>
                <w:sz w:val="24"/>
                <w:highlight w:val="none"/>
              </w:rPr>
            </w:pPr>
          </w:p>
        </w:tc>
        <w:tc>
          <w:tcPr>
            <w:tcW w:w="1596" w:type="dxa"/>
            <w:vAlign w:val="center"/>
          </w:tcPr>
          <w:p w14:paraId="0B1278C8">
            <w:pPr>
              <w:spacing w:line="360" w:lineRule="auto"/>
              <w:contextualSpacing/>
              <w:jc w:val="left"/>
              <w:rPr>
                <w:rFonts w:asciiTheme="minorEastAsia" w:hAnsiTheme="minorEastAsia"/>
                <w:bCs/>
                <w:color w:val="auto"/>
                <w:sz w:val="24"/>
                <w:highlight w:val="none"/>
              </w:rPr>
            </w:pPr>
          </w:p>
        </w:tc>
        <w:tc>
          <w:tcPr>
            <w:tcW w:w="1581" w:type="dxa"/>
            <w:vAlign w:val="center"/>
          </w:tcPr>
          <w:p w14:paraId="6E003248">
            <w:pPr>
              <w:spacing w:line="360" w:lineRule="auto"/>
              <w:contextualSpacing/>
              <w:jc w:val="left"/>
              <w:rPr>
                <w:rFonts w:asciiTheme="minorEastAsia" w:hAnsiTheme="minorEastAsia"/>
                <w:bCs/>
                <w:color w:val="auto"/>
                <w:sz w:val="24"/>
                <w:highlight w:val="none"/>
              </w:rPr>
            </w:pPr>
          </w:p>
        </w:tc>
        <w:tc>
          <w:tcPr>
            <w:tcW w:w="1604" w:type="dxa"/>
            <w:vAlign w:val="center"/>
          </w:tcPr>
          <w:p w14:paraId="04D8ACF4">
            <w:pPr>
              <w:spacing w:line="360" w:lineRule="auto"/>
              <w:contextualSpacing/>
              <w:jc w:val="left"/>
              <w:rPr>
                <w:rFonts w:asciiTheme="minorEastAsia" w:hAnsiTheme="minorEastAsia"/>
                <w:bCs/>
                <w:color w:val="auto"/>
                <w:sz w:val="24"/>
                <w:highlight w:val="none"/>
              </w:rPr>
            </w:pPr>
          </w:p>
        </w:tc>
        <w:tc>
          <w:tcPr>
            <w:tcW w:w="858" w:type="dxa"/>
            <w:vAlign w:val="center"/>
          </w:tcPr>
          <w:p w14:paraId="462C2177">
            <w:pPr>
              <w:spacing w:line="360" w:lineRule="auto"/>
              <w:contextualSpacing/>
              <w:jc w:val="left"/>
              <w:rPr>
                <w:rFonts w:asciiTheme="minorEastAsia" w:hAnsiTheme="minorEastAsia"/>
                <w:bCs/>
                <w:color w:val="auto"/>
                <w:sz w:val="24"/>
                <w:highlight w:val="none"/>
              </w:rPr>
            </w:pPr>
          </w:p>
        </w:tc>
      </w:tr>
      <w:tr w14:paraId="51917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7" w:type="dxa"/>
            <w:vAlign w:val="center"/>
          </w:tcPr>
          <w:p w14:paraId="1D0A906A">
            <w:pPr>
              <w:spacing w:line="360" w:lineRule="auto"/>
              <w:contextualSpacing/>
              <w:jc w:val="left"/>
              <w:rPr>
                <w:rFonts w:asciiTheme="minorEastAsia" w:hAnsiTheme="minorEastAsia"/>
                <w:bCs/>
                <w:color w:val="auto"/>
                <w:sz w:val="24"/>
                <w:highlight w:val="none"/>
              </w:rPr>
            </w:pPr>
          </w:p>
        </w:tc>
        <w:tc>
          <w:tcPr>
            <w:tcW w:w="1860" w:type="dxa"/>
            <w:vAlign w:val="center"/>
          </w:tcPr>
          <w:p w14:paraId="3BE11302">
            <w:pPr>
              <w:spacing w:line="360" w:lineRule="auto"/>
              <w:contextualSpacing/>
              <w:jc w:val="left"/>
              <w:rPr>
                <w:rFonts w:asciiTheme="minorEastAsia" w:hAnsiTheme="minorEastAsia"/>
                <w:bCs/>
                <w:color w:val="auto"/>
                <w:sz w:val="24"/>
                <w:highlight w:val="none"/>
              </w:rPr>
            </w:pPr>
          </w:p>
        </w:tc>
        <w:tc>
          <w:tcPr>
            <w:tcW w:w="1596" w:type="dxa"/>
            <w:vAlign w:val="center"/>
          </w:tcPr>
          <w:p w14:paraId="1E26B956">
            <w:pPr>
              <w:spacing w:line="360" w:lineRule="auto"/>
              <w:contextualSpacing/>
              <w:jc w:val="left"/>
              <w:rPr>
                <w:rFonts w:asciiTheme="minorEastAsia" w:hAnsiTheme="minorEastAsia"/>
                <w:bCs/>
                <w:color w:val="auto"/>
                <w:sz w:val="24"/>
                <w:highlight w:val="none"/>
              </w:rPr>
            </w:pPr>
          </w:p>
        </w:tc>
        <w:tc>
          <w:tcPr>
            <w:tcW w:w="1581" w:type="dxa"/>
            <w:vAlign w:val="center"/>
          </w:tcPr>
          <w:p w14:paraId="23373308">
            <w:pPr>
              <w:spacing w:line="360" w:lineRule="auto"/>
              <w:contextualSpacing/>
              <w:jc w:val="left"/>
              <w:rPr>
                <w:rFonts w:asciiTheme="minorEastAsia" w:hAnsiTheme="minorEastAsia"/>
                <w:bCs/>
                <w:color w:val="auto"/>
                <w:sz w:val="24"/>
                <w:highlight w:val="none"/>
              </w:rPr>
            </w:pPr>
          </w:p>
        </w:tc>
        <w:tc>
          <w:tcPr>
            <w:tcW w:w="1604" w:type="dxa"/>
            <w:vAlign w:val="center"/>
          </w:tcPr>
          <w:p w14:paraId="26945DC6">
            <w:pPr>
              <w:spacing w:line="360" w:lineRule="auto"/>
              <w:contextualSpacing/>
              <w:jc w:val="left"/>
              <w:rPr>
                <w:rFonts w:asciiTheme="minorEastAsia" w:hAnsiTheme="minorEastAsia"/>
                <w:bCs/>
                <w:color w:val="auto"/>
                <w:sz w:val="24"/>
                <w:highlight w:val="none"/>
              </w:rPr>
            </w:pPr>
          </w:p>
        </w:tc>
        <w:tc>
          <w:tcPr>
            <w:tcW w:w="858" w:type="dxa"/>
            <w:vAlign w:val="center"/>
          </w:tcPr>
          <w:p w14:paraId="54E083CD">
            <w:pPr>
              <w:spacing w:line="360" w:lineRule="auto"/>
              <w:contextualSpacing/>
              <w:jc w:val="left"/>
              <w:rPr>
                <w:rFonts w:asciiTheme="minorEastAsia" w:hAnsiTheme="minorEastAsia"/>
                <w:bCs/>
                <w:color w:val="auto"/>
                <w:sz w:val="24"/>
                <w:highlight w:val="none"/>
              </w:rPr>
            </w:pPr>
          </w:p>
        </w:tc>
      </w:tr>
      <w:tr w14:paraId="05F05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7" w:type="dxa"/>
            <w:vAlign w:val="center"/>
          </w:tcPr>
          <w:p w14:paraId="0B7EED22">
            <w:pPr>
              <w:spacing w:line="360" w:lineRule="auto"/>
              <w:contextualSpacing/>
              <w:jc w:val="left"/>
              <w:rPr>
                <w:rFonts w:asciiTheme="minorEastAsia" w:hAnsiTheme="minorEastAsia"/>
                <w:bCs/>
                <w:color w:val="auto"/>
                <w:sz w:val="24"/>
                <w:highlight w:val="none"/>
              </w:rPr>
            </w:pPr>
          </w:p>
        </w:tc>
        <w:tc>
          <w:tcPr>
            <w:tcW w:w="1860" w:type="dxa"/>
            <w:vAlign w:val="center"/>
          </w:tcPr>
          <w:p w14:paraId="02888AA1">
            <w:pPr>
              <w:spacing w:line="360" w:lineRule="auto"/>
              <w:contextualSpacing/>
              <w:jc w:val="left"/>
              <w:rPr>
                <w:rFonts w:asciiTheme="minorEastAsia" w:hAnsiTheme="minorEastAsia"/>
                <w:bCs/>
                <w:color w:val="auto"/>
                <w:sz w:val="24"/>
                <w:highlight w:val="none"/>
              </w:rPr>
            </w:pPr>
          </w:p>
        </w:tc>
        <w:tc>
          <w:tcPr>
            <w:tcW w:w="1596" w:type="dxa"/>
            <w:vAlign w:val="center"/>
          </w:tcPr>
          <w:p w14:paraId="7BCD7454">
            <w:pPr>
              <w:spacing w:line="360" w:lineRule="auto"/>
              <w:contextualSpacing/>
              <w:jc w:val="left"/>
              <w:rPr>
                <w:rFonts w:asciiTheme="minorEastAsia" w:hAnsiTheme="minorEastAsia"/>
                <w:bCs/>
                <w:color w:val="auto"/>
                <w:sz w:val="24"/>
                <w:highlight w:val="none"/>
              </w:rPr>
            </w:pPr>
          </w:p>
        </w:tc>
        <w:tc>
          <w:tcPr>
            <w:tcW w:w="1581" w:type="dxa"/>
            <w:vAlign w:val="center"/>
          </w:tcPr>
          <w:p w14:paraId="38301BFB">
            <w:pPr>
              <w:spacing w:line="360" w:lineRule="auto"/>
              <w:contextualSpacing/>
              <w:jc w:val="left"/>
              <w:rPr>
                <w:rFonts w:asciiTheme="minorEastAsia" w:hAnsiTheme="minorEastAsia"/>
                <w:bCs/>
                <w:color w:val="auto"/>
                <w:sz w:val="24"/>
                <w:highlight w:val="none"/>
              </w:rPr>
            </w:pPr>
          </w:p>
        </w:tc>
        <w:tc>
          <w:tcPr>
            <w:tcW w:w="1604" w:type="dxa"/>
            <w:vAlign w:val="center"/>
          </w:tcPr>
          <w:p w14:paraId="5FB28B04">
            <w:pPr>
              <w:spacing w:line="360" w:lineRule="auto"/>
              <w:contextualSpacing/>
              <w:jc w:val="left"/>
              <w:rPr>
                <w:rFonts w:asciiTheme="minorEastAsia" w:hAnsiTheme="minorEastAsia"/>
                <w:bCs/>
                <w:color w:val="auto"/>
                <w:sz w:val="24"/>
                <w:highlight w:val="none"/>
              </w:rPr>
            </w:pPr>
          </w:p>
        </w:tc>
        <w:tc>
          <w:tcPr>
            <w:tcW w:w="858" w:type="dxa"/>
            <w:vAlign w:val="center"/>
          </w:tcPr>
          <w:p w14:paraId="4241F851">
            <w:pPr>
              <w:spacing w:line="360" w:lineRule="auto"/>
              <w:contextualSpacing/>
              <w:jc w:val="left"/>
              <w:rPr>
                <w:rFonts w:asciiTheme="minorEastAsia" w:hAnsiTheme="minorEastAsia"/>
                <w:bCs/>
                <w:color w:val="auto"/>
                <w:sz w:val="24"/>
                <w:highlight w:val="none"/>
              </w:rPr>
            </w:pPr>
          </w:p>
        </w:tc>
      </w:tr>
      <w:tr w14:paraId="6CF8C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7" w:type="dxa"/>
            <w:vAlign w:val="center"/>
          </w:tcPr>
          <w:p w14:paraId="1499E7CD">
            <w:pPr>
              <w:spacing w:line="360" w:lineRule="auto"/>
              <w:contextualSpacing/>
              <w:jc w:val="left"/>
              <w:rPr>
                <w:rFonts w:asciiTheme="minorEastAsia" w:hAnsiTheme="minorEastAsia"/>
                <w:bCs/>
                <w:color w:val="auto"/>
                <w:sz w:val="24"/>
                <w:highlight w:val="none"/>
              </w:rPr>
            </w:pPr>
          </w:p>
        </w:tc>
        <w:tc>
          <w:tcPr>
            <w:tcW w:w="1860" w:type="dxa"/>
            <w:vAlign w:val="center"/>
          </w:tcPr>
          <w:p w14:paraId="0E307E9A">
            <w:pPr>
              <w:spacing w:line="360" w:lineRule="auto"/>
              <w:contextualSpacing/>
              <w:jc w:val="left"/>
              <w:rPr>
                <w:rFonts w:asciiTheme="minorEastAsia" w:hAnsiTheme="minorEastAsia"/>
                <w:bCs/>
                <w:color w:val="auto"/>
                <w:sz w:val="24"/>
                <w:highlight w:val="none"/>
              </w:rPr>
            </w:pPr>
          </w:p>
        </w:tc>
        <w:tc>
          <w:tcPr>
            <w:tcW w:w="1596" w:type="dxa"/>
            <w:vAlign w:val="center"/>
          </w:tcPr>
          <w:p w14:paraId="21CA76FE">
            <w:pPr>
              <w:spacing w:line="360" w:lineRule="auto"/>
              <w:contextualSpacing/>
              <w:jc w:val="left"/>
              <w:rPr>
                <w:rFonts w:asciiTheme="minorEastAsia" w:hAnsiTheme="minorEastAsia"/>
                <w:bCs/>
                <w:color w:val="auto"/>
                <w:sz w:val="24"/>
                <w:highlight w:val="none"/>
              </w:rPr>
            </w:pPr>
          </w:p>
        </w:tc>
        <w:tc>
          <w:tcPr>
            <w:tcW w:w="1581" w:type="dxa"/>
            <w:vAlign w:val="center"/>
          </w:tcPr>
          <w:p w14:paraId="374300A3">
            <w:pPr>
              <w:spacing w:line="360" w:lineRule="auto"/>
              <w:contextualSpacing/>
              <w:jc w:val="left"/>
              <w:rPr>
                <w:rFonts w:asciiTheme="minorEastAsia" w:hAnsiTheme="minorEastAsia"/>
                <w:bCs/>
                <w:color w:val="auto"/>
                <w:sz w:val="24"/>
                <w:highlight w:val="none"/>
              </w:rPr>
            </w:pPr>
          </w:p>
        </w:tc>
        <w:tc>
          <w:tcPr>
            <w:tcW w:w="1604" w:type="dxa"/>
            <w:vAlign w:val="center"/>
          </w:tcPr>
          <w:p w14:paraId="06FE2D6A">
            <w:pPr>
              <w:spacing w:line="360" w:lineRule="auto"/>
              <w:contextualSpacing/>
              <w:jc w:val="left"/>
              <w:rPr>
                <w:rFonts w:asciiTheme="minorEastAsia" w:hAnsiTheme="minorEastAsia"/>
                <w:bCs/>
                <w:color w:val="auto"/>
                <w:sz w:val="24"/>
                <w:highlight w:val="none"/>
              </w:rPr>
            </w:pPr>
          </w:p>
        </w:tc>
        <w:tc>
          <w:tcPr>
            <w:tcW w:w="858" w:type="dxa"/>
            <w:vAlign w:val="center"/>
          </w:tcPr>
          <w:p w14:paraId="466EF269">
            <w:pPr>
              <w:spacing w:line="360" w:lineRule="auto"/>
              <w:contextualSpacing/>
              <w:jc w:val="left"/>
              <w:rPr>
                <w:rFonts w:asciiTheme="minorEastAsia" w:hAnsiTheme="minorEastAsia"/>
                <w:bCs/>
                <w:color w:val="auto"/>
                <w:sz w:val="24"/>
                <w:highlight w:val="none"/>
              </w:rPr>
            </w:pPr>
          </w:p>
        </w:tc>
      </w:tr>
      <w:tr w14:paraId="0BDD8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97" w:type="dxa"/>
            <w:vAlign w:val="center"/>
          </w:tcPr>
          <w:p w14:paraId="33555B0C">
            <w:pPr>
              <w:spacing w:line="360" w:lineRule="auto"/>
              <w:contextualSpacing/>
              <w:jc w:val="left"/>
              <w:rPr>
                <w:rFonts w:asciiTheme="minorEastAsia" w:hAnsiTheme="minorEastAsia"/>
                <w:bCs/>
                <w:color w:val="auto"/>
                <w:sz w:val="24"/>
                <w:highlight w:val="none"/>
              </w:rPr>
            </w:pPr>
          </w:p>
        </w:tc>
        <w:tc>
          <w:tcPr>
            <w:tcW w:w="1860" w:type="dxa"/>
            <w:vAlign w:val="center"/>
          </w:tcPr>
          <w:p w14:paraId="00C245D7">
            <w:pPr>
              <w:spacing w:line="360" w:lineRule="auto"/>
              <w:contextualSpacing/>
              <w:jc w:val="left"/>
              <w:rPr>
                <w:rFonts w:asciiTheme="minorEastAsia" w:hAnsiTheme="minorEastAsia"/>
                <w:bCs/>
                <w:color w:val="auto"/>
                <w:sz w:val="24"/>
                <w:highlight w:val="none"/>
              </w:rPr>
            </w:pPr>
          </w:p>
        </w:tc>
        <w:tc>
          <w:tcPr>
            <w:tcW w:w="1596" w:type="dxa"/>
            <w:vAlign w:val="center"/>
          </w:tcPr>
          <w:p w14:paraId="75B51A9C">
            <w:pPr>
              <w:spacing w:line="360" w:lineRule="auto"/>
              <w:contextualSpacing/>
              <w:jc w:val="left"/>
              <w:rPr>
                <w:rFonts w:asciiTheme="minorEastAsia" w:hAnsiTheme="minorEastAsia"/>
                <w:bCs/>
                <w:color w:val="auto"/>
                <w:sz w:val="24"/>
                <w:highlight w:val="none"/>
              </w:rPr>
            </w:pPr>
          </w:p>
        </w:tc>
        <w:tc>
          <w:tcPr>
            <w:tcW w:w="1581" w:type="dxa"/>
            <w:vAlign w:val="center"/>
          </w:tcPr>
          <w:p w14:paraId="0F24C276">
            <w:pPr>
              <w:spacing w:line="360" w:lineRule="auto"/>
              <w:contextualSpacing/>
              <w:jc w:val="left"/>
              <w:rPr>
                <w:rFonts w:asciiTheme="minorEastAsia" w:hAnsiTheme="minorEastAsia"/>
                <w:bCs/>
                <w:color w:val="auto"/>
                <w:sz w:val="24"/>
                <w:highlight w:val="none"/>
              </w:rPr>
            </w:pPr>
          </w:p>
        </w:tc>
        <w:tc>
          <w:tcPr>
            <w:tcW w:w="1604" w:type="dxa"/>
            <w:vAlign w:val="center"/>
          </w:tcPr>
          <w:p w14:paraId="6BBA493B">
            <w:pPr>
              <w:spacing w:line="360" w:lineRule="auto"/>
              <w:contextualSpacing/>
              <w:jc w:val="left"/>
              <w:rPr>
                <w:rFonts w:asciiTheme="minorEastAsia" w:hAnsiTheme="minorEastAsia"/>
                <w:bCs/>
                <w:color w:val="auto"/>
                <w:sz w:val="24"/>
                <w:highlight w:val="none"/>
              </w:rPr>
            </w:pPr>
          </w:p>
        </w:tc>
        <w:tc>
          <w:tcPr>
            <w:tcW w:w="858" w:type="dxa"/>
            <w:vAlign w:val="center"/>
          </w:tcPr>
          <w:p w14:paraId="730E2DF8">
            <w:pPr>
              <w:spacing w:line="360" w:lineRule="auto"/>
              <w:contextualSpacing/>
              <w:jc w:val="left"/>
              <w:rPr>
                <w:rFonts w:asciiTheme="minorEastAsia" w:hAnsiTheme="minorEastAsia"/>
                <w:bCs/>
                <w:color w:val="auto"/>
                <w:sz w:val="24"/>
                <w:highlight w:val="none"/>
              </w:rPr>
            </w:pPr>
          </w:p>
        </w:tc>
      </w:tr>
    </w:tbl>
    <w:p w14:paraId="4F457C29">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注：</w:t>
      </w:r>
    </w:p>
    <w:p w14:paraId="7F895D48">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1.</w:t>
      </w:r>
      <w:r>
        <w:rPr>
          <w:rFonts w:asciiTheme="minorEastAsia" w:hAnsiTheme="minorEastAsia"/>
          <w:bCs/>
          <w:color w:val="auto"/>
          <w:sz w:val="24"/>
          <w:highlight w:val="none"/>
        </w:rPr>
        <w:t xml:space="preserve"> 对磋商文件中的所有商务、技术要求，除本表所列明的所有偏离外，均视作供应商已对之理解和</w:t>
      </w:r>
      <w:r>
        <w:rPr>
          <w:rFonts w:hint="eastAsia" w:asciiTheme="minorEastAsia" w:hAnsiTheme="minorEastAsia"/>
          <w:bCs/>
          <w:color w:val="auto"/>
          <w:sz w:val="24"/>
          <w:highlight w:val="none"/>
        </w:rPr>
        <w:t>响应</w:t>
      </w:r>
      <w:r>
        <w:rPr>
          <w:rFonts w:asciiTheme="minorEastAsia" w:hAnsiTheme="minorEastAsia"/>
          <w:bCs/>
          <w:color w:val="auto"/>
          <w:sz w:val="24"/>
          <w:highlight w:val="none"/>
        </w:rPr>
        <w:t>。</w:t>
      </w:r>
    </w:p>
    <w:p w14:paraId="58EF2C77">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2.</w:t>
      </w:r>
      <w:r>
        <w:rPr>
          <w:rFonts w:hint="eastAsia" w:asciiTheme="minorEastAsia" w:hAnsiTheme="minorEastAsia"/>
          <w:bCs/>
          <w:color w:val="auto"/>
          <w:sz w:val="24"/>
          <w:highlight w:val="none"/>
        </w:rPr>
        <w:t>“偏离情况”列应据实填写“正偏离”或“负偏离”。</w:t>
      </w:r>
    </w:p>
    <w:p w14:paraId="4AD55AE2">
      <w:pPr>
        <w:spacing w:line="360" w:lineRule="auto"/>
        <w:ind w:firstLine="480" w:firstLineChars="200"/>
        <w:contextualSpacing/>
        <w:jc w:val="left"/>
        <w:rPr>
          <w:rFonts w:asciiTheme="minorEastAsia" w:hAnsiTheme="minorEastAsia"/>
          <w:bCs/>
          <w:color w:val="auto"/>
          <w:sz w:val="24"/>
          <w:highlight w:val="none"/>
        </w:rPr>
      </w:pPr>
    </w:p>
    <w:p w14:paraId="00724A1F">
      <w:pPr>
        <w:spacing w:line="360" w:lineRule="auto"/>
        <w:ind w:firstLine="480" w:firstLineChars="200"/>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供应商名称（加盖公章）：    ____________</w:t>
      </w:r>
    </w:p>
    <w:p w14:paraId="33E38DA7">
      <w:pPr>
        <w:spacing w:line="360" w:lineRule="auto"/>
        <w:ind w:firstLine="480" w:firstLineChars="200"/>
        <w:contextualSpacing/>
        <w:jc w:val="left"/>
        <w:rPr>
          <w:rFonts w:asciiTheme="minorEastAsia" w:hAnsiTheme="minorEastAsia"/>
          <w:bCs/>
          <w:color w:val="auto"/>
          <w:sz w:val="24"/>
          <w:highlight w:val="none"/>
        </w:rPr>
        <w:sectPr>
          <w:pgSz w:w="11906" w:h="16838"/>
          <w:pgMar w:top="1440" w:right="1800" w:bottom="1440" w:left="1800" w:header="851" w:footer="992" w:gutter="0"/>
          <w:cols w:space="0" w:num="1"/>
          <w:docGrid w:type="lines" w:linePitch="312" w:charSpace="0"/>
        </w:sectPr>
      </w:pPr>
      <w:r>
        <w:rPr>
          <w:rFonts w:asciiTheme="minorEastAsia" w:hAnsiTheme="minorEastAsia"/>
          <w:bCs/>
          <w:color w:val="auto"/>
          <w:sz w:val="24"/>
          <w:highlight w:val="none"/>
        </w:rPr>
        <w:t>日期：_____年______月_____</w:t>
      </w:r>
    </w:p>
    <w:p w14:paraId="5711C5A1">
      <w:pPr>
        <w:spacing w:line="360" w:lineRule="auto"/>
        <w:outlineLvl w:val="2"/>
        <w:rPr>
          <w:rFonts w:ascii="宋体" w:hAnsi="宋体" w:eastAsia="宋体" w:cs="宋体"/>
          <w:color w:val="auto"/>
          <w:sz w:val="24"/>
          <w:highlight w:val="none"/>
        </w:rPr>
      </w:pPr>
      <w:r>
        <w:rPr>
          <w:rFonts w:hint="eastAsia" w:ascii="宋体" w:hAnsi="宋体" w:eastAsia="宋体" w:cs="宋体"/>
          <w:color w:val="auto"/>
          <w:sz w:val="24"/>
          <w:szCs w:val="20"/>
          <w:highlight w:val="none"/>
        </w:rPr>
        <w:t>8</w:t>
      </w:r>
      <w:r>
        <w:rPr>
          <w:rFonts w:hint="eastAsia" w:ascii="宋体" w:hAnsi="宋体" w:eastAsia="宋体" w:cs="宋体"/>
          <w:color w:val="auto"/>
          <w:sz w:val="24"/>
          <w:highlight w:val="none"/>
        </w:rPr>
        <w:t>中小企业声明函</w:t>
      </w:r>
    </w:p>
    <w:p w14:paraId="06571C0D">
      <w:pPr>
        <w:spacing w:line="360" w:lineRule="auto"/>
        <w:ind w:firstLine="480" w:firstLineChars="200"/>
        <w:contextualSpacing/>
        <w:rPr>
          <w:rFonts w:asciiTheme="minorEastAsia" w:hAnsiTheme="minorEastAsia"/>
          <w:bCs/>
          <w:color w:val="auto"/>
          <w:sz w:val="24"/>
          <w:highlight w:val="none"/>
        </w:rPr>
      </w:pPr>
      <w:r>
        <w:rPr>
          <w:rFonts w:hint="eastAsia" w:asciiTheme="minorEastAsia" w:hAnsiTheme="minorEastAsia"/>
          <w:bCs/>
          <w:color w:val="auto"/>
          <w:sz w:val="24"/>
          <w:highlight w:val="none"/>
        </w:rPr>
        <w:t>说明：</w:t>
      </w:r>
    </w:p>
    <w:p w14:paraId="64DEDFA3">
      <w:pPr>
        <w:spacing w:line="360" w:lineRule="auto"/>
        <w:ind w:firstLine="480" w:firstLineChars="200"/>
        <w:contextualSpacing/>
        <w:rPr>
          <w:rFonts w:asciiTheme="minorEastAsia" w:hAnsiTheme="minorEastAsia"/>
          <w:bCs/>
          <w:color w:val="auto"/>
          <w:sz w:val="24"/>
          <w:highlight w:val="none"/>
        </w:rPr>
      </w:pPr>
      <w:r>
        <w:rPr>
          <w:rFonts w:hint="eastAsia" w:asciiTheme="minorEastAsia" w:hAnsiTheme="minorEastAsia"/>
          <w:bCs/>
          <w:color w:val="auto"/>
          <w:sz w:val="24"/>
          <w:highlight w:val="none"/>
        </w:rPr>
        <w:t>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p>
    <w:p w14:paraId="381140EE">
      <w:pPr>
        <w:spacing w:line="360" w:lineRule="auto"/>
        <w:ind w:firstLine="480" w:firstLineChars="200"/>
        <w:contextualSpacing/>
        <w:rPr>
          <w:rFonts w:asciiTheme="minorEastAsia" w:hAnsiTheme="minorEastAsia"/>
          <w:bCs/>
          <w:color w:val="auto"/>
          <w:sz w:val="24"/>
          <w:highlight w:val="none"/>
        </w:rPr>
      </w:pPr>
      <w:r>
        <w:rPr>
          <w:rFonts w:hint="eastAsia" w:asciiTheme="minorEastAsia" w:hAnsiTheme="minorEastAsia"/>
          <w:bCs/>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6B0E0B6E">
      <w:pPr>
        <w:spacing w:line="360" w:lineRule="auto"/>
        <w:ind w:firstLine="480" w:firstLineChars="200"/>
        <w:contextualSpacing/>
        <w:rPr>
          <w:rFonts w:asciiTheme="minorEastAsia" w:hAnsiTheme="minorEastAsia"/>
          <w:bCs/>
          <w:color w:val="auto"/>
          <w:sz w:val="24"/>
          <w:highlight w:val="none"/>
        </w:rPr>
      </w:pPr>
      <w:r>
        <w:rPr>
          <w:rFonts w:hint="eastAsia" w:asciiTheme="minorEastAsia" w:hAnsiTheme="minorEastAsia"/>
          <w:bCs/>
          <w:color w:val="auto"/>
          <w:sz w:val="24"/>
          <w:highlight w:val="none"/>
        </w:rPr>
        <w:t>3）对于多标的的采购项目，供应商应充分、准确地了解所投产品制造企业信息。对相关情况了解不清楚的，不建议填报本声明函。</w:t>
      </w:r>
    </w:p>
    <w:p w14:paraId="4A303E98">
      <w:pPr>
        <w:spacing w:line="360" w:lineRule="auto"/>
        <w:ind w:firstLine="480" w:firstLineChars="200"/>
        <w:contextualSpacing/>
        <w:rPr>
          <w:rFonts w:asciiTheme="minorEastAsia" w:hAnsiTheme="minorEastAsia"/>
          <w:bCs/>
          <w:color w:val="auto"/>
          <w:sz w:val="24"/>
          <w:highlight w:val="none"/>
        </w:rPr>
      </w:pPr>
      <w:r>
        <w:rPr>
          <w:rFonts w:hint="eastAsia" w:asciiTheme="minorEastAsia" w:hAnsiTheme="minorEastAsia"/>
          <w:bCs/>
          <w:color w:val="auto"/>
          <w:sz w:val="24"/>
          <w:highlight w:val="none"/>
        </w:rPr>
        <w:t>4）中小企业认定标准以《关于印发中小企业划型标准规定的通知》（工信部联企业〔2011〕300号）文件规定为准。</w:t>
      </w:r>
    </w:p>
    <w:p w14:paraId="1AED6CE8">
      <w:pPr>
        <w:spacing w:line="360" w:lineRule="auto"/>
        <w:ind w:firstLine="480" w:firstLineChars="200"/>
        <w:contextualSpacing/>
        <w:rPr>
          <w:rFonts w:asciiTheme="minorEastAsia" w:hAnsiTheme="minorEastAsia"/>
          <w:bCs/>
          <w:color w:val="auto"/>
          <w:sz w:val="24"/>
          <w:highlight w:val="none"/>
        </w:rPr>
      </w:pPr>
      <w:r>
        <w:rPr>
          <w:rFonts w:hint="eastAsia" w:asciiTheme="minorEastAsia" w:hAnsiTheme="minorEastAsia"/>
          <w:bCs/>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Fonts w:asciiTheme="minorEastAsia" w:hAnsiTheme="minorEastAsia"/>
          <w:bCs/>
          <w:color w:val="auto"/>
          <w:highlight w:val="none"/>
        </w:rPr>
        <w:t>http://202.106.120.146/baosong/appweb/orgScale.html</w:t>
      </w:r>
      <w:r>
        <w:rPr>
          <w:rFonts w:asciiTheme="minorEastAsia" w:hAnsiTheme="minorEastAsia"/>
          <w:bCs/>
          <w:color w:val="auto"/>
          <w:highlight w:val="none"/>
        </w:rPr>
        <w:fldChar w:fldCharType="end"/>
      </w:r>
      <w:r>
        <w:rPr>
          <w:rFonts w:hint="eastAsia" w:asciiTheme="minorEastAsia" w:hAnsiTheme="minorEastAsia"/>
          <w:bCs/>
          <w:color w:val="auto"/>
          <w:sz w:val="24"/>
          <w:highlight w:val="none"/>
        </w:rPr>
        <w:t>）</w:t>
      </w:r>
    </w:p>
    <w:p w14:paraId="3B1087AD">
      <w:pPr>
        <w:spacing w:line="360" w:lineRule="auto"/>
        <w:ind w:firstLine="480" w:firstLineChars="200"/>
        <w:contextualSpacing/>
        <w:rPr>
          <w:rFonts w:asciiTheme="minorEastAsia" w:hAnsiTheme="minorEastAsia"/>
          <w:bCs/>
          <w:color w:val="auto"/>
          <w:sz w:val="24"/>
          <w:highlight w:val="none"/>
        </w:rPr>
      </w:pPr>
      <w:r>
        <w:rPr>
          <w:rFonts w:hint="eastAsia" w:asciiTheme="minorEastAsia" w:hAnsiTheme="minorEastAsia"/>
          <w:bCs/>
          <w:color w:val="auto"/>
          <w:sz w:val="24"/>
          <w:highlight w:val="none"/>
        </w:rPr>
        <w:t>6）</w:t>
      </w:r>
      <w:r>
        <w:rPr>
          <w:rFonts w:asciiTheme="minorEastAsia" w:hAnsiTheme="minorEastAsia"/>
          <w:bCs/>
          <w:color w:val="auto"/>
          <w:sz w:val="24"/>
          <w:highlight w:val="none"/>
        </w:rPr>
        <w:t>在货物采购项目中，供应商提供的货物既有中</w:t>
      </w:r>
      <w:r>
        <w:rPr>
          <w:rFonts w:hint="eastAsia" w:asciiTheme="minorEastAsia" w:hAnsiTheme="minorEastAsia"/>
          <w:bCs/>
          <w:color w:val="auto"/>
          <w:sz w:val="24"/>
          <w:highlight w:val="none"/>
        </w:rPr>
        <w:t>型</w:t>
      </w:r>
      <w:r>
        <w:rPr>
          <w:rFonts w:asciiTheme="minorEastAsia" w:hAnsiTheme="minorEastAsia"/>
          <w:bCs/>
          <w:color w:val="auto"/>
          <w:sz w:val="24"/>
          <w:highlight w:val="none"/>
        </w:rPr>
        <w:t>企业制造货物，也有</w:t>
      </w:r>
      <w:r>
        <w:rPr>
          <w:rFonts w:hint="eastAsia" w:asciiTheme="minorEastAsia" w:hAnsiTheme="minorEastAsia"/>
          <w:bCs/>
          <w:color w:val="auto"/>
          <w:sz w:val="24"/>
          <w:highlight w:val="none"/>
        </w:rPr>
        <w:t>小微</w:t>
      </w:r>
      <w:r>
        <w:rPr>
          <w:rFonts w:asciiTheme="minorEastAsia" w:hAnsiTheme="minorEastAsia"/>
          <w:bCs/>
          <w:color w:val="auto"/>
          <w:sz w:val="24"/>
          <w:highlight w:val="none"/>
        </w:rPr>
        <w:t>企业制造货物的，不享受</w:t>
      </w:r>
      <w:r>
        <w:rPr>
          <w:rFonts w:hint="eastAsia" w:asciiTheme="minorEastAsia" w:hAnsiTheme="minorEastAsia"/>
          <w:bCs/>
          <w:color w:val="auto"/>
          <w:sz w:val="24"/>
          <w:highlight w:val="none"/>
        </w:rPr>
        <w:t>小微</w:t>
      </w:r>
      <w:r>
        <w:rPr>
          <w:rFonts w:asciiTheme="minorEastAsia" w:hAnsiTheme="minorEastAsia"/>
          <w:bCs/>
          <w:color w:val="auto"/>
          <w:sz w:val="24"/>
          <w:highlight w:val="none"/>
        </w:rPr>
        <w:t>企业扶持政策</w:t>
      </w:r>
      <w:r>
        <w:rPr>
          <w:rFonts w:hint="eastAsia" w:asciiTheme="minorEastAsia" w:hAnsiTheme="minorEastAsia"/>
          <w:bCs/>
          <w:color w:val="auto"/>
          <w:sz w:val="24"/>
          <w:highlight w:val="none"/>
        </w:rPr>
        <w:t>，不予价格扣除</w:t>
      </w:r>
      <w:r>
        <w:rPr>
          <w:rFonts w:asciiTheme="minorEastAsia" w:hAnsiTheme="minorEastAsia"/>
          <w:bCs/>
          <w:color w:val="auto"/>
          <w:sz w:val="24"/>
          <w:highlight w:val="none"/>
        </w:rPr>
        <w:t>。</w:t>
      </w:r>
    </w:p>
    <w:p w14:paraId="684C5C1C">
      <w:pPr>
        <w:spacing w:line="360" w:lineRule="auto"/>
        <w:ind w:firstLine="480" w:firstLineChars="200"/>
        <w:contextualSpacing/>
        <w:rPr>
          <w:rFonts w:ascii="宋体" w:hAnsi="宋体"/>
          <w:b/>
          <w:bCs/>
          <w:color w:val="auto"/>
          <w:szCs w:val="24"/>
          <w:highlight w:val="none"/>
        </w:rPr>
        <w:sectPr>
          <w:pgSz w:w="11906" w:h="16838"/>
          <w:pgMar w:top="1440" w:right="1800" w:bottom="1440" w:left="1800" w:header="851" w:footer="992" w:gutter="0"/>
          <w:cols w:space="720" w:num="1"/>
          <w:docGrid w:type="lines" w:linePitch="312" w:charSpace="0"/>
        </w:sectPr>
      </w:pPr>
      <w:r>
        <w:rPr>
          <w:rFonts w:hint="eastAsia" w:asciiTheme="minorEastAsia" w:hAnsiTheme="minorEastAsia"/>
          <w:bCs/>
          <w:color w:val="auto"/>
          <w:sz w:val="24"/>
          <w:highlight w:val="none"/>
        </w:rPr>
        <w:t>7）小微企业未提供声明函的，价格分评审将不予价格扣除。</w:t>
      </w:r>
    </w:p>
    <w:p w14:paraId="26A8D26D">
      <w:pPr>
        <w:spacing w:beforeLines="100" w:afterLines="100" w:line="360" w:lineRule="auto"/>
        <w:jc w:val="center"/>
        <w:rPr>
          <w:b/>
          <w:bCs/>
          <w:color w:val="auto"/>
          <w:sz w:val="36"/>
          <w:szCs w:val="36"/>
          <w:highlight w:val="none"/>
        </w:rPr>
      </w:pPr>
      <w:r>
        <w:rPr>
          <w:b/>
          <w:bCs/>
          <w:color w:val="auto"/>
          <w:sz w:val="36"/>
          <w:szCs w:val="36"/>
          <w:highlight w:val="none"/>
        </w:rPr>
        <w:t>中小企业声明函（工程、服务）格式</w:t>
      </w:r>
    </w:p>
    <w:p w14:paraId="7AEDABED">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6F04C764">
      <w:pPr>
        <w:numPr>
          <w:ilvl w:val="0"/>
          <w:numId w:val="10"/>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招标文件中明确的所属行业）</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14:paraId="7EE42384">
      <w:pPr>
        <w:numPr>
          <w:ilvl w:val="0"/>
          <w:numId w:val="10"/>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rPr>
      </w:pPr>
      <w:r>
        <w:rPr>
          <w:i/>
          <w:color w:val="auto"/>
          <w:kern w:val="0"/>
          <w:sz w:val="24"/>
          <w:highlight w:val="none"/>
          <w:u w:val="single" w:color="000000"/>
        </w:rPr>
        <w:t>（标的名称）</w:t>
      </w:r>
      <w:r>
        <w:rPr>
          <w:color w:val="auto"/>
          <w:kern w:val="0"/>
          <w:sz w:val="24"/>
          <w:highlight w:val="none"/>
        </w:rPr>
        <w:t>，属于</w:t>
      </w:r>
      <w:r>
        <w:rPr>
          <w:i/>
          <w:color w:val="auto"/>
          <w:kern w:val="0"/>
          <w:sz w:val="24"/>
          <w:highlight w:val="none"/>
        </w:rPr>
        <w:t>（</w:t>
      </w:r>
      <w:r>
        <w:rPr>
          <w:i/>
          <w:color w:val="auto"/>
          <w:kern w:val="0"/>
          <w:sz w:val="24"/>
          <w:highlight w:val="none"/>
          <w:u w:val="single" w:color="000000"/>
        </w:rPr>
        <w:t>招标文件中明确的所属行业）</w:t>
      </w:r>
      <w:r>
        <w:rPr>
          <w:color w:val="auto"/>
          <w:kern w:val="0"/>
          <w:sz w:val="24"/>
          <w:highlight w:val="none"/>
        </w:rPr>
        <w:t>；承建（承接）企业为</w:t>
      </w:r>
      <w:r>
        <w:rPr>
          <w:i/>
          <w:color w:val="auto"/>
          <w:kern w:val="0"/>
          <w:sz w:val="24"/>
          <w:highlight w:val="none"/>
          <w:u w:val="single" w:color="000000"/>
        </w:rPr>
        <w:t>（企业名称）</w:t>
      </w:r>
      <w:r>
        <w:rPr>
          <w:color w:val="auto"/>
          <w:kern w:val="0"/>
          <w:sz w:val="24"/>
          <w:highlight w:val="none"/>
        </w:rPr>
        <w:t>，从业人员</w:t>
      </w:r>
      <w:r>
        <w:rPr>
          <w:color w:val="auto"/>
          <w:kern w:val="0"/>
          <w:sz w:val="24"/>
          <w:highlight w:val="none"/>
          <w:u w:val="single" w:color="000000"/>
        </w:rPr>
        <w:tab/>
      </w:r>
      <w:r>
        <w:rPr>
          <w:color w:val="auto"/>
          <w:kern w:val="0"/>
          <w:sz w:val="24"/>
          <w:highlight w:val="none"/>
        </w:rPr>
        <w:t>人，营业收入为</w:t>
      </w:r>
      <w:r>
        <w:rPr>
          <w:color w:val="auto"/>
          <w:kern w:val="0"/>
          <w:sz w:val="24"/>
          <w:highlight w:val="none"/>
          <w:u w:val="single" w:color="000000"/>
        </w:rPr>
        <w:tab/>
      </w:r>
      <w:r>
        <w:rPr>
          <w:color w:val="auto"/>
          <w:kern w:val="0"/>
          <w:sz w:val="24"/>
          <w:highlight w:val="none"/>
        </w:rPr>
        <w:t>万元，资产总额为</w:t>
      </w:r>
      <w:r>
        <w:rPr>
          <w:color w:val="auto"/>
          <w:kern w:val="0"/>
          <w:sz w:val="24"/>
          <w:highlight w:val="none"/>
          <w:u w:val="single" w:color="000000"/>
        </w:rPr>
        <w:tab/>
      </w:r>
      <w:r>
        <w:rPr>
          <w:color w:val="auto"/>
          <w:kern w:val="0"/>
          <w:sz w:val="24"/>
          <w:highlight w:val="none"/>
        </w:rPr>
        <w:t>万元，属于</w:t>
      </w:r>
      <w:r>
        <w:rPr>
          <w:i/>
          <w:color w:val="auto"/>
          <w:kern w:val="0"/>
          <w:sz w:val="24"/>
          <w:highlight w:val="none"/>
          <w:u w:val="single" w:color="000000"/>
        </w:rPr>
        <w:t>（中型企业、小型企业、微型企业）</w:t>
      </w:r>
      <w:r>
        <w:rPr>
          <w:color w:val="auto"/>
          <w:kern w:val="0"/>
          <w:sz w:val="24"/>
          <w:highlight w:val="none"/>
        </w:rPr>
        <w:t>；</w:t>
      </w:r>
    </w:p>
    <w:p w14:paraId="011D9919">
      <w:pPr>
        <w:autoSpaceDE w:val="0"/>
        <w:autoSpaceDN w:val="0"/>
        <w:spacing w:line="360" w:lineRule="auto"/>
        <w:ind w:left="860"/>
        <w:jc w:val="left"/>
        <w:rPr>
          <w:color w:val="auto"/>
          <w:kern w:val="0"/>
          <w:sz w:val="24"/>
          <w:highlight w:val="none"/>
        </w:rPr>
      </w:pPr>
      <w:r>
        <w:rPr>
          <w:color w:val="auto"/>
          <w:kern w:val="0"/>
          <w:sz w:val="24"/>
          <w:highlight w:val="none"/>
        </w:rPr>
        <w:t>……</w:t>
      </w:r>
    </w:p>
    <w:p w14:paraId="6D553317">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14:paraId="1E878BA6">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14:paraId="7DE3E25A">
      <w:pPr>
        <w:spacing w:line="360" w:lineRule="auto"/>
        <w:ind w:firstLine="504"/>
        <w:rPr>
          <w:color w:val="auto"/>
          <w:spacing w:val="6"/>
          <w:sz w:val="24"/>
          <w:highlight w:val="none"/>
        </w:rPr>
      </w:pPr>
    </w:p>
    <w:p w14:paraId="5A586EFF">
      <w:pPr>
        <w:spacing w:line="360" w:lineRule="auto"/>
        <w:ind w:right="360" w:firstLine="480"/>
        <w:jc w:val="right"/>
        <w:rPr>
          <w:color w:val="auto"/>
          <w:sz w:val="24"/>
          <w:highlight w:val="none"/>
        </w:rPr>
      </w:pPr>
    </w:p>
    <w:p w14:paraId="34670DA3">
      <w:pPr>
        <w:spacing w:line="360" w:lineRule="auto"/>
        <w:ind w:right="360" w:firstLine="480"/>
        <w:jc w:val="right"/>
        <w:rPr>
          <w:color w:val="auto"/>
          <w:sz w:val="24"/>
          <w:highlight w:val="none"/>
        </w:rPr>
      </w:pPr>
      <w:r>
        <w:rPr>
          <w:color w:val="auto"/>
          <w:sz w:val="24"/>
          <w:highlight w:val="none"/>
        </w:rPr>
        <w:t>企业名称（加盖公章）：________</w:t>
      </w:r>
    </w:p>
    <w:p w14:paraId="55AD18DA">
      <w:pPr>
        <w:spacing w:line="360" w:lineRule="auto"/>
        <w:ind w:right="360" w:firstLine="480"/>
        <w:jc w:val="right"/>
        <w:rPr>
          <w:color w:val="auto"/>
          <w:sz w:val="24"/>
          <w:highlight w:val="none"/>
        </w:rPr>
      </w:pPr>
      <w:r>
        <w:rPr>
          <w:color w:val="auto"/>
          <w:sz w:val="24"/>
          <w:highlight w:val="none"/>
        </w:rPr>
        <w:t>日 期：________</w:t>
      </w:r>
    </w:p>
    <w:p w14:paraId="7C40E797">
      <w:pPr>
        <w:spacing w:line="360" w:lineRule="auto"/>
        <w:ind w:right="360" w:firstLine="480"/>
        <w:jc w:val="right"/>
        <w:rPr>
          <w:color w:val="auto"/>
          <w:sz w:val="24"/>
          <w:highlight w:val="none"/>
        </w:rPr>
      </w:pPr>
    </w:p>
    <w:p w14:paraId="59C772FD">
      <w:pPr>
        <w:adjustRightInd w:val="0"/>
        <w:snapToGrid w:val="0"/>
        <w:jc w:val="left"/>
        <w:rPr>
          <w:color w:val="auto"/>
          <w:sz w:val="24"/>
          <w:szCs w:val="21"/>
          <w:highlight w:val="none"/>
        </w:rPr>
      </w:pPr>
    </w:p>
    <w:tbl>
      <w:tblPr>
        <w:tblStyle w:val="2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522"/>
      </w:tblGrid>
      <w:tr w14:paraId="4F24D550">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6242CFB5">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14:paraId="4F2E3B93">
      <w:pPr>
        <w:rPr>
          <w:b/>
          <w:bCs/>
          <w:color w:val="auto"/>
          <w:sz w:val="36"/>
          <w:szCs w:val="36"/>
          <w:highlight w:val="none"/>
        </w:rPr>
      </w:pPr>
    </w:p>
    <w:p w14:paraId="3418F861">
      <w:pPr>
        <w:rPr>
          <w:b/>
          <w:bCs/>
          <w:color w:val="auto"/>
          <w:sz w:val="36"/>
          <w:szCs w:val="36"/>
          <w:highlight w:val="none"/>
        </w:rPr>
      </w:pPr>
      <w:r>
        <w:rPr>
          <w:b/>
          <w:bCs/>
          <w:color w:val="auto"/>
          <w:sz w:val="36"/>
          <w:szCs w:val="36"/>
          <w:highlight w:val="none"/>
        </w:rPr>
        <w:br w:type="page"/>
      </w:r>
    </w:p>
    <w:p w14:paraId="133C20C4">
      <w:pPr>
        <w:spacing w:beforeLines="10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348E7413">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4297024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5490656A">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474DF79A">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2A7FF16F">
      <w:pPr>
        <w:spacing w:line="588" w:lineRule="exact"/>
        <w:ind w:firstLine="504" w:firstLineChars="200"/>
        <w:rPr>
          <w:color w:val="auto"/>
          <w:spacing w:val="6"/>
          <w:sz w:val="24"/>
          <w:highlight w:val="none"/>
        </w:rPr>
      </w:pPr>
    </w:p>
    <w:p w14:paraId="2C7AA6D3">
      <w:pPr>
        <w:spacing w:line="588" w:lineRule="exact"/>
        <w:ind w:firstLine="504" w:firstLineChars="200"/>
        <w:rPr>
          <w:color w:val="auto"/>
          <w:spacing w:val="6"/>
          <w:sz w:val="24"/>
          <w:highlight w:val="none"/>
        </w:rPr>
      </w:pPr>
    </w:p>
    <w:p w14:paraId="0C8A7463">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单位名称（加盖公章）：</w:t>
      </w:r>
    </w:p>
    <w:p w14:paraId="68CA0D23">
      <w:pPr>
        <w:tabs>
          <w:tab w:val="left" w:pos="4860"/>
        </w:tabs>
        <w:spacing w:line="588" w:lineRule="exact"/>
        <w:ind w:right="1560" w:firstLine="504" w:firstLineChars="200"/>
        <w:jc w:val="center"/>
        <w:rPr>
          <w:rFonts w:asciiTheme="minorEastAsia" w:hAnsiTheme="minorEastAsia"/>
          <w:bCs/>
          <w:color w:val="auto"/>
          <w:sz w:val="24"/>
          <w:highlight w:val="none"/>
        </w:rPr>
        <w:sectPr>
          <w:pgSz w:w="11906" w:h="16838"/>
          <w:pgMar w:top="1440" w:right="1800" w:bottom="1440" w:left="1800" w:header="851" w:footer="992" w:gutter="0"/>
          <w:cols w:space="0" w:num="1"/>
          <w:docGrid w:type="lines" w:linePitch="312" w:charSpace="0"/>
        </w:sectPr>
      </w:pPr>
      <w:r>
        <w:rPr>
          <w:color w:val="auto"/>
          <w:spacing w:val="6"/>
          <w:sz w:val="24"/>
          <w:highlight w:val="none"/>
        </w:rPr>
        <w:t xml:space="preserve">       日  期：</w:t>
      </w:r>
    </w:p>
    <w:p w14:paraId="2BCC76F7">
      <w:pPr>
        <w:widowControl/>
        <w:jc w:val="left"/>
        <w:rPr>
          <w:rFonts w:asciiTheme="minorEastAsia" w:hAnsiTheme="minorEastAsia"/>
          <w:color w:val="auto"/>
          <w:sz w:val="24"/>
          <w:highlight w:val="none"/>
        </w:rPr>
      </w:pPr>
      <w:r>
        <w:rPr>
          <w:rFonts w:hint="eastAsia" w:asciiTheme="minorEastAsia" w:hAnsiTheme="minorEastAsia"/>
          <w:color w:val="auto"/>
          <w:sz w:val="24"/>
          <w:highlight w:val="none"/>
        </w:rPr>
        <w:t>9项目实施方案等，包括但不限于如下主题：</w:t>
      </w:r>
    </w:p>
    <w:p w14:paraId="7792938E">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1）项目组织实施方案；</w:t>
      </w:r>
    </w:p>
    <w:p w14:paraId="07D037F1">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2）项目管理方案；</w:t>
      </w:r>
    </w:p>
    <w:p w14:paraId="52945007">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3）拟达到的标准，配备的人员、设备配置等；</w:t>
      </w:r>
    </w:p>
    <w:p w14:paraId="306504F7">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4）培训方案、技术支持等方案；</w:t>
      </w:r>
    </w:p>
    <w:p w14:paraId="38B3FA27">
      <w:pPr>
        <w:spacing w:line="360" w:lineRule="auto"/>
        <w:ind w:firstLine="480" w:firstLineChars="200"/>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5）优惠条款或承诺；</w:t>
      </w:r>
    </w:p>
    <w:p w14:paraId="5EA1229D">
      <w:pPr>
        <w:spacing w:line="360" w:lineRule="auto"/>
        <w:ind w:firstLine="480" w:firstLineChars="200"/>
        <w:contextualSpacing/>
        <w:jc w:val="left"/>
        <w:rPr>
          <w:rFonts w:asciiTheme="minorEastAsia" w:hAnsiTheme="minorEastAsia"/>
          <w:bCs/>
          <w:color w:val="auto"/>
          <w:sz w:val="24"/>
          <w:highlight w:val="none"/>
        </w:rPr>
        <w:sectPr>
          <w:pgSz w:w="11906" w:h="16838"/>
          <w:pgMar w:top="1440" w:right="1800" w:bottom="1440" w:left="1800" w:header="851" w:footer="992" w:gutter="0"/>
          <w:cols w:space="0" w:num="1"/>
          <w:docGrid w:type="lines" w:linePitch="312" w:charSpace="0"/>
        </w:sectPr>
      </w:pPr>
      <w:r>
        <w:rPr>
          <w:rFonts w:hint="eastAsia" w:asciiTheme="minorEastAsia" w:hAnsiTheme="minorEastAsia"/>
          <w:bCs/>
          <w:color w:val="auto"/>
          <w:sz w:val="24"/>
          <w:highlight w:val="none"/>
        </w:rPr>
        <w:t>6）其他。</w:t>
      </w:r>
    </w:p>
    <w:p w14:paraId="319270D9">
      <w:pPr>
        <w:spacing w:line="360" w:lineRule="auto"/>
        <w:jc w:val="left"/>
        <w:outlineLvl w:val="2"/>
        <w:rPr>
          <w:rFonts w:asciiTheme="minorEastAsia" w:hAnsiTheme="minorEastAsia"/>
          <w:color w:val="auto"/>
          <w:sz w:val="24"/>
          <w:highlight w:val="none"/>
        </w:rPr>
      </w:pPr>
      <w:r>
        <w:rPr>
          <w:rFonts w:hint="eastAsia" w:asciiTheme="minorEastAsia" w:hAnsiTheme="minorEastAsia"/>
          <w:color w:val="auto"/>
          <w:sz w:val="24"/>
          <w:highlight w:val="none"/>
        </w:rPr>
        <w:t>10参加本项目人员一览表</w:t>
      </w:r>
    </w:p>
    <w:p w14:paraId="6C49E985">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参加本项目人员一览表</w:t>
      </w:r>
    </w:p>
    <w:p w14:paraId="73294E24">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项目编号/分包号： </w:t>
      </w:r>
    </w:p>
    <w:tbl>
      <w:tblPr>
        <w:tblStyle w:val="21"/>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573EEB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383F3FAE">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45CAA8A2">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5AC9DD7D">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04546304">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7E16B153">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28F110DB">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7D20C922">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1B898286">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02D41DC4">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责任</w:t>
            </w:r>
          </w:p>
          <w:p w14:paraId="7B5C8F12">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01EF0888">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项目经历或主要工作</w:t>
            </w:r>
          </w:p>
          <w:p w14:paraId="573299B3">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业绩</w:t>
            </w:r>
          </w:p>
        </w:tc>
      </w:tr>
      <w:tr w14:paraId="4D41F7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01433F36">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371E3ED">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ADCEEC8">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F0FE4EA">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ADFC28D">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10EAB5F">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CDB4D48">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5BB9ACE">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565CABF">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AE1ADA7">
            <w:pPr>
              <w:spacing w:line="360" w:lineRule="auto"/>
              <w:contextualSpacing/>
              <w:jc w:val="left"/>
              <w:rPr>
                <w:rFonts w:asciiTheme="minorEastAsia" w:hAnsiTheme="minorEastAsia"/>
                <w:bCs/>
                <w:color w:val="auto"/>
                <w:sz w:val="24"/>
                <w:highlight w:val="none"/>
              </w:rPr>
            </w:pPr>
          </w:p>
        </w:tc>
      </w:tr>
      <w:tr w14:paraId="6DA7D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34BD4B9D">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A7D1A8F">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2D06F9D">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3B84842">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8150817">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D851126">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2427DC4">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284D8F5">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0A0C218">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ADF4EF0">
            <w:pPr>
              <w:spacing w:line="360" w:lineRule="auto"/>
              <w:contextualSpacing/>
              <w:jc w:val="left"/>
              <w:rPr>
                <w:rFonts w:asciiTheme="minorEastAsia" w:hAnsiTheme="minorEastAsia"/>
                <w:bCs/>
                <w:color w:val="auto"/>
                <w:sz w:val="24"/>
                <w:highlight w:val="none"/>
              </w:rPr>
            </w:pPr>
          </w:p>
        </w:tc>
      </w:tr>
      <w:tr w14:paraId="6EFF1D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628560CB">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CE7FFA7">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002A8D6">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DCDFF65">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CE61A29">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6CA0BC2">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96443F0">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1A7EFB9">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8FBA73F">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FAB951E">
            <w:pPr>
              <w:spacing w:line="360" w:lineRule="auto"/>
              <w:contextualSpacing/>
              <w:jc w:val="left"/>
              <w:rPr>
                <w:rFonts w:asciiTheme="minorEastAsia" w:hAnsiTheme="minorEastAsia"/>
                <w:bCs/>
                <w:color w:val="auto"/>
                <w:sz w:val="24"/>
                <w:highlight w:val="none"/>
              </w:rPr>
            </w:pPr>
          </w:p>
        </w:tc>
      </w:tr>
      <w:tr w14:paraId="2513D8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51ED5CA2">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A8F7819">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87ADD46">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06E9306">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C689A9">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B0261EF">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8C20E9A">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1876293">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054922A">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6ED76A9">
            <w:pPr>
              <w:spacing w:line="360" w:lineRule="auto"/>
              <w:contextualSpacing/>
              <w:jc w:val="left"/>
              <w:rPr>
                <w:rFonts w:asciiTheme="minorEastAsia" w:hAnsiTheme="minorEastAsia"/>
                <w:bCs/>
                <w:color w:val="auto"/>
                <w:sz w:val="24"/>
                <w:highlight w:val="none"/>
              </w:rPr>
            </w:pPr>
          </w:p>
        </w:tc>
      </w:tr>
      <w:tr w14:paraId="7F44C3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40366901">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EA84905">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E74A688">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A2CC049">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D4FF1F1">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A8C421F">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ABF19E0">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79673D8">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E53F284">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493698A">
            <w:pPr>
              <w:spacing w:line="360" w:lineRule="auto"/>
              <w:contextualSpacing/>
              <w:jc w:val="left"/>
              <w:rPr>
                <w:rFonts w:asciiTheme="minorEastAsia" w:hAnsiTheme="minorEastAsia"/>
                <w:bCs/>
                <w:color w:val="auto"/>
                <w:sz w:val="24"/>
                <w:highlight w:val="none"/>
              </w:rPr>
            </w:pPr>
          </w:p>
        </w:tc>
      </w:tr>
      <w:tr w14:paraId="3853D7A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3724F5E1">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02E260E">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D9EA8F7">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C1314CE">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B8E1A44">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6BEF549">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8341D00">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9DDF49F">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BEE861D">
            <w:pPr>
              <w:spacing w:line="360" w:lineRule="auto"/>
              <w:contextualSpacing/>
              <w:jc w:val="left"/>
              <w:rPr>
                <w:rFonts w:asciiTheme="minorEastAsia" w:hAnsiTheme="minorEastAsia"/>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2864286">
            <w:pPr>
              <w:spacing w:line="360" w:lineRule="auto"/>
              <w:contextualSpacing/>
              <w:jc w:val="left"/>
              <w:rPr>
                <w:rFonts w:asciiTheme="minorEastAsia" w:hAnsiTheme="minorEastAsia"/>
                <w:bCs/>
                <w:color w:val="auto"/>
                <w:sz w:val="24"/>
                <w:highlight w:val="none"/>
              </w:rPr>
            </w:pPr>
          </w:p>
        </w:tc>
      </w:tr>
    </w:tbl>
    <w:p w14:paraId="59A06305">
      <w:pPr>
        <w:spacing w:line="360" w:lineRule="auto"/>
        <w:ind w:firstLine="480" w:firstLineChars="200"/>
        <w:contextualSpacing/>
        <w:jc w:val="left"/>
        <w:rPr>
          <w:rFonts w:asciiTheme="minorEastAsia" w:hAnsiTheme="minorEastAsia"/>
          <w:bCs/>
          <w:color w:val="auto"/>
          <w:sz w:val="24"/>
          <w:highlight w:val="none"/>
        </w:rPr>
      </w:pPr>
    </w:p>
    <w:p w14:paraId="417F3385">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注：参加本项目人员须是供应商正式职工。</w:t>
      </w:r>
    </w:p>
    <w:p w14:paraId="743E9616">
      <w:pPr>
        <w:spacing w:line="360" w:lineRule="auto"/>
        <w:contextualSpacing/>
        <w:jc w:val="left"/>
        <w:rPr>
          <w:rFonts w:asciiTheme="minorEastAsia" w:hAnsiTheme="minorEastAsia"/>
          <w:bCs/>
          <w:color w:val="auto"/>
          <w:sz w:val="24"/>
          <w:highlight w:val="none"/>
        </w:rPr>
      </w:pPr>
    </w:p>
    <w:p w14:paraId="4DB820B2">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供应商名称（加盖公章）：    ____________</w:t>
      </w:r>
    </w:p>
    <w:p w14:paraId="7AC85580">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 xml:space="preserve">日期：_____年______月______日   </w:t>
      </w:r>
      <w:bookmarkStart w:id="524" w:name="_Toc288738839"/>
      <w:bookmarkStart w:id="525" w:name="_Toc288738397"/>
    </w:p>
    <w:p w14:paraId="795EBBF4">
      <w:pPr>
        <w:spacing w:line="360" w:lineRule="auto"/>
        <w:jc w:val="left"/>
        <w:outlineLvl w:val="2"/>
        <w:rPr>
          <w:rFonts w:asciiTheme="minorEastAsia" w:hAnsiTheme="minorEastAsia"/>
          <w:color w:val="auto"/>
          <w:sz w:val="24"/>
          <w:highlight w:val="none"/>
        </w:rPr>
      </w:pPr>
      <w:r>
        <w:rPr>
          <w:rFonts w:asciiTheme="minorEastAsia" w:hAnsiTheme="minorEastAsia"/>
          <w:color w:val="auto"/>
          <w:sz w:val="24"/>
          <w:highlight w:val="none"/>
        </w:rPr>
        <w:br w:type="page"/>
      </w:r>
      <w:r>
        <w:rPr>
          <w:rFonts w:hint="eastAsia" w:asciiTheme="minorEastAsia" w:hAnsiTheme="minorEastAsia"/>
          <w:color w:val="auto"/>
          <w:sz w:val="24"/>
          <w:highlight w:val="none"/>
        </w:rPr>
        <w:t>11相关业绩案例一览表</w:t>
      </w:r>
    </w:p>
    <w:p w14:paraId="1BADE04B">
      <w:pPr>
        <w:spacing w:line="360" w:lineRule="auto"/>
        <w:jc w:val="center"/>
        <w:rPr>
          <w:rFonts w:asciiTheme="minorEastAsia" w:hAnsiTheme="minorEastAsia"/>
          <w:b/>
          <w:color w:val="auto"/>
          <w:sz w:val="28"/>
          <w:szCs w:val="28"/>
          <w:highlight w:val="none"/>
        </w:rPr>
      </w:pPr>
      <w:r>
        <w:rPr>
          <w:rFonts w:hint="eastAsia" w:asciiTheme="minorEastAsia" w:hAnsiTheme="minorEastAsia"/>
          <w:b/>
          <w:color w:val="auto"/>
          <w:sz w:val="28"/>
          <w:szCs w:val="28"/>
          <w:highlight w:val="none"/>
        </w:rPr>
        <w:t>相关业绩案例一览表</w:t>
      </w:r>
      <w:bookmarkEnd w:id="524"/>
      <w:bookmarkEnd w:id="525"/>
    </w:p>
    <w:p w14:paraId="20EB5385">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项目编号：                   </w:t>
      </w:r>
    </w:p>
    <w:tbl>
      <w:tblPr>
        <w:tblStyle w:val="21"/>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0382CF1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52A9ED9F">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7A909464">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项目采购人单位</w:t>
            </w:r>
          </w:p>
        </w:tc>
        <w:tc>
          <w:tcPr>
            <w:tcW w:w="1521" w:type="dxa"/>
            <w:tcBorders>
              <w:top w:val="single" w:color="auto" w:sz="6" w:space="0"/>
              <w:left w:val="single" w:color="auto" w:sz="6" w:space="0"/>
              <w:bottom w:val="single" w:color="auto" w:sz="6" w:space="0"/>
              <w:right w:val="single" w:color="auto" w:sz="6" w:space="0"/>
            </w:tcBorders>
            <w:vAlign w:val="center"/>
          </w:tcPr>
          <w:p w14:paraId="45E29291">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6DD1E7B9">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109C9916">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62F37F76">
            <w:pPr>
              <w:spacing w:line="360" w:lineRule="auto"/>
              <w:contextualSpacing/>
              <w:jc w:val="left"/>
              <w:rPr>
                <w:rFonts w:asciiTheme="minorEastAsia" w:hAnsiTheme="minorEastAsia"/>
                <w:bCs/>
                <w:color w:val="auto"/>
                <w:sz w:val="24"/>
                <w:highlight w:val="none"/>
              </w:rPr>
            </w:pPr>
            <w:r>
              <w:rPr>
                <w:rFonts w:hint="eastAsia" w:asciiTheme="minorEastAsia" w:hAnsiTheme="minorEastAsia"/>
                <w:bCs/>
                <w:color w:val="auto"/>
                <w:sz w:val="24"/>
                <w:highlight w:val="none"/>
              </w:rPr>
              <w:t>联系电话</w:t>
            </w:r>
          </w:p>
        </w:tc>
      </w:tr>
      <w:tr w14:paraId="6036B8A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5D91269">
            <w:pPr>
              <w:spacing w:line="360" w:lineRule="auto"/>
              <w:contextualSpacing/>
              <w:jc w:val="left"/>
              <w:rPr>
                <w:rFonts w:asciiTheme="minorEastAsia" w:hAnsiTheme="minorEastAsia"/>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1A3C63A0">
            <w:pPr>
              <w:spacing w:line="360" w:lineRule="auto"/>
              <w:contextualSpacing/>
              <w:jc w:val="left"/>
              <w:rPr>
                <w:rFonts w:asciiTheme="minorEastAsia" w:hAnsiTheme="minorEastAsia"/>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955D27D">
            <w:pPr>
              <w:spacing w:line="360" w:lineRule="auto"/>
              <w:contextualSpacing/>
              <w:jc w:val="left"/>
              <w:rPr>
                <w:rFonts w:asciiTheme="minorEastAsia" w:hAnsiTheme="minorEastAsia"/>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84A7AF5">
            <w:pPr>
              <w:spacing w:line="360" w:lineRule="auto"/>
              <w:contextualSpacing/>
              <w:jc w:val="left"/>
              <w:rPr>
                <w:rFonts w:asciiTheme="minorEastAsia" w:hAnsiTheme="minorEastAsia"/>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235B3FE">
            <w:pPr>
              <w:spacing w:line="360" w:lineRule="auto"/>
              <w:contextualSpacing/>
              <w:jc w:val="left"/>
              <w:rPr>
                <w:rFonts w:asciiTheme="minorEastAsia" w:hAnsiTheme="minorEastAsia"/>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6BA3C66D">
            <w:pPr>
              <w:spacing w:line="360" w:lineRule="auto"/>
              <w:contextualSpacing/>
              <w:jc w:val="left"/>
              <w:rPr>
                <w:rFonts w:asciiTheme="minorEastAsia" w:hAnsiTheme="minorEastAsia"/>
                <w:bCs/>
                <w:color w:val="auto"/>
                <w:sz w:val="24"/>
                <w:highlight w:val="none"/>
              </w:rPr>
            </w:pPr>
          </w:p>
        </w:tc>
      </w:tr>
      <w:tr w14:paraId="40C70CA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78C142D">
            <w:pPr>
              <w:spacing w:line="360" w:lineRule="auto"/>
              <w:contextualSpacing/>
              <w:jc w:val="left"/>
              <w:rPr>
                <w:rFonts w:asciiTheme="minorEastAsia" w:hAnsiTheme="minorEastAsia"/>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4C06D38A">
            <w:pPr>
              <w:spacing w:line="360" w:lineRule="auto"/>
              <w:contextualSpacing/>
              <w:jc w:val="left"/>
              <w:rPr>
                <w:rFonts w:asciiTheme="minorEastAsia" w:hAnsiTheme="minorEastAsia"/>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061CC0A9">
            <w:pPr>
              <w:spacing w:line="360" w:lineRule="auto"/>
              <w:contextualSpacing/>
              <w:jc w:val="left"/>
              <w:rPr>
                <w:rFonts w:asciiTheme="minorEastAsia" w:hAnsiTheme="minorEastAsia"/>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17C8D474">
            <w:pPr>
              <w:spacing w:line="360" w:lineRule="auto"/>
              <w:contextualSpacing/>
              <w:jc w:val="left"/>
              <w:rPr>
                <w:rFonts w:asciiTheme="minorEastAsia" w:hAnsiTheme="minorEastAsia"/>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3A54D612">
            <w:pPr>
              <w:spacing w:line="360" w:lineRule="auto"/>
              <w:contextualSpacing/>
              <w:jc w:val="left"/>
              <w:rPr>
                <w:rFonts w:asciiTheme="minorEastAsia" w:hAnsiTheme="minorEastAsia"/>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05AE6DD4">
            <w:pPr>
              <w:spacing w:line="360" w:lineRule="auto"/>
              <w:contextualSpacing/>
              <w:jc w:val="left"/>
              <w:rPr>
                <w:rFonts w:asciiTheme="minorEastAsia" w:hAnsiTheme="minorEastAsia"/>
                <w:bCs/>
                <w:color w:val="auto"/>
                <w:sz w:val="24"/>
                <w:highlight w:val="none"/>
              </w:rPr>
            </w:pPr>
          </w:p>
        </w:tc>
      </w:tr>
      <w:tr w14:paraId="7D127E2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63A3F084">
            <w:pPr>
              <w:spacing w:line="360" w:lineRule="auto"/>
              <w:contextualSpacing/>
              <w:jc w:val="left"/>
              <w:rPr>
                <w:rFonts w:asciiTheme="minorEastAsia" w:hAnsiTheme="minorEastAsia"/>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50B6E32A">
            <w:pPr>
              <w:spacing w:line="360" w:lineRule="auto"/>
              <w:contextualSpacing/>
              <w:jc w:val="left"/>
              <w:rPr>
                <w:rFonts w:asciiTheme="minorEastAsia" w:hAnsiTheme="minorEastAsia"/>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F545031">
            <w:pPr>
              <w:spacing w:line="360" w:lineRule="auto"/>
              <w:contextualSpacing/>
              <w:jc w:val="left"/>
              <w:rPr>
                <w:rFonts w:asciiTheme="minorEastAsia" w:hAnsiTheme="minorEastAsia"/>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717608A5">
            <w:pPr>
              <w:spacing w:line="360" w:lineRule="auto"/>
              <w:contextualSpacing/>
              <w:jc w:val="left"/>
              <w:rPr>
                <w:rFonts w:asciiTheme="minorEastAsia" w:hAnsiTheme="minorEastAsia"/>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1BD0AEF">
            <w:pPr>
              <w:spacing w:line="360" w:lineRule="auto"/>
              <w:contextualSpacing/>
              <w:jc w:val="left"/>
              <w:rPr>
                <w:rFonts w:asciiTheme="minorEastAsia" w:hAnsiTheme="minorEastAsia"/>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72154C41">
            <w:pPr>
              <w:spacing w:line="360" w:lineRule="auto"/>
              <w:contextualSpacing/>
              <w:jc w:val="left"/>
              <w:rPr>
                <w:rFonts w:asciiTheme="minorEastAsia" w:hAnsiTheme="minorEastAsia"/>
                <w:bCs/>
                <w:color w:val="auto"/>
                <w:sz w:val="24"/>
                <w:highlight w:val="none"/>
              </w:rPr>
            </w:pPr>
          </w:p>
        </w:tc>
      </w:tr>
      <w:tr w14:paraId="1A08FD3E">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6102DF79">
            <w:pPr>
              <w:spacing w:line="360" w:lineRule="auto"/>
              <w:contextualSpacing/>
              <w:jc w:val="left"/>
              <w:rPr>
                <w:rFonts w:asciiTheme="minorEastAsia" w:hAnsiTheme="minorEastAsia"/>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0662AAFF">
            <w:pPr>
              <w:spacing w:line="360" w:lineRule="auto"/>
              <w:contextualSpacing/>
              <w:jc w:val="left"/>
              <w:rPr>
                <w:rFonts w:asciiTheme="minorEastAsia" w:hAnsiTheme="minorEastAsia"/>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19D34B51">
            <w:pPr>
              <w:spacing w:line="360" w:lineRule="auto"/>
              <w:contextualSpacing/>
              <w:jc w:val="left"/>
              <w:rPr>
                <w:rFonts w:asciiTheme="minorEastAsia" w:hAnsiTheme="minorEastAsia"/>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26EA56BD">
            <w:pPr>
              <w:spacing w:line="360" w:lineRule="auto"/>
              <w:contextualSpacing/>
              <w:jc w:val="left"/>
              <w:rPr>
                <w:rFonts w:asciiTheme="minorEastAsia" w:hAnsiTheme="minorEastAsia"/>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7D9693E">
            <w:pPr>
              <w:spacing w:line="360" w:lineRule="auto"/>
              <w:contextualSpacing/>
              <w:jc w:val="left"/>
              <w:rPr>
                <w:rFonts w:asciiTheme="minorEastAsia" w:hAnsiTheme="minorEastAsia"/>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47027505">
            <w:pPr>
              <w:spacing w:line="360" w:lineRule="auto"/>
              <w:contextualSpacing/>
              <w:jc w:val="left"/>
              <w:rPr>
                <w:rFonts w:asciiTheme="minorEastAsia" w:hAnsiTheme="minorEastAsia"/>
                <w:bCs/>
                <w:color w:val="auto"/>
                <w:sz w:val="24"/>
                <w:highlight w:val="none"/>
              </w:rPr>
            </w:pPr>
          </w:p>
        </w:tc>
      </w:tr>
      <w:tr w14:paraId="2C0FC0BF">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13BE71C1">
            <w:pPr>
              <w:spacing w:line="360" w:lineRule="auto"/>
              <w:contextualSpacing/>
              <w:jc w:val="left"/>
              <w:rPr>
                <w:rFonts w:asciiTheme="minorEastAsia" w:hAnsiTheme="minorEastAsia"/>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37D22BA">
            <w:pPr>
              <w:spacing w:line="360" w:lineRule="auto"/>
              <w:contextualSpacing/>
              <w:jc w:val="left"/>
              <w:rPr>
                <w:rFonts w:asciiTheme="minorEastAsia" w:hAnsiTheme="minorEastAsia"/>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701DC0E8">
            <w:pPr>
              <w:spacing w:line="360" w:lineRule="auto"/>
              <w:contextualSpacing/>
              <w:jc w:val="left"/>
              <w:rPr>
                <w:rFonts w:asciiTheme="minorEastAsia" w:hAnsiTheme="minorEastAsia"/>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CC02262">
            <w:pPr>
              <w:spacing w:line="360" w:lineRule="auto"/>
              <w:contextualSpacing/>
              <w:jc w:val="left"/>
              <w:rPr>
                <w:rFonts w:asciiTheme="minorEastAsia" w:hAnsiTheme="minorEastAsia"/>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7EE4F5AA">
            <w:pPr>
              <w:spacing w:line="360" w:lineRule="auto"/>
              <w:contextualSpacing/>
              <w:jc w:val="left"/>
              <w:rPr>
                <w:rFonts w:asciiTheme="minorEastAsia" w:hAnsiTheme="minorEastAsia"/>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6DCE3B22">
            <w:pPr>
              <w:spacing w:line="360" w:lineRule="auto"/>
              <w:contextualSpacing/>
              <w:jc w:val="left"/>
              <w:rPr>
                <w:rFonts w:asciiTheme="minorEastAsia" w:hAnsiTheme="minorEastAsia"/>
                <w:bCs/>
                <w:color w:val="auto"/>
                <w:sz w:val="24"/>
                <w:highlight w:val="none"/>
              </w:rPr>
            </w:pPr>
          </w:p>
        </w:tc>
      </w:tr>
      <w:tr w14:paraId="5FA1FE9A">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69391BD">
            <w:pPr>
              <w:spacing w:line="360" w:lineRule="auto"/>
              <w:contextualSpacing/>
              <w:jc w:val="left"/>
              <w:rPr>
                <w:rFonts w:asciiTheme="minorEastAsia" w:hAnsiTheme="minorEastAsia"/>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2A03E54B">
            <w:pPr>
              <w:spacing w:line="360" w:lineRule="auto"/>
              <w:contextualSpacing/>
              <w:jc w:val="left"/>
              <w:rPr>
                <w:rFonts w:asciiTheme="minorEastAsia" w:hAnsiTheme="minorEastAsia"/>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1B1C36CC">
            <w:pPr>
              <w:spacing w:line="360" w:lineRule="auto"/>
              <w:contextualSpacing/>
              <w:jc w:val="left"/>
              <w:rPr>
                <w:rFonts w:asciiTheme="minorEastAsia" w:hAnsiTheme="minorEastAsia"/>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2612A001">
            <w:pPr>
              <w:spacing w:line="360" w:lineRule="auto"/>
              <w:contextualSpacing/>
              <w:jc w:val="left"/>
              <w:rPr>
                <w:rFonts w:asciiTheme="minorEastAsia" w:hAnsiTheme="minorEastAsia"/>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2348E611">
            <w:pPr>
              <w:spacing w:line="360" w:lineRule="auto"/>
              <w:contextualSpacing/>
              <w:jc w:val="left"/>
              <w:rPr>
                <w:rFonts w:asciiTheme="minorEastAsia" w:hAnsiTheme="minorEastAsia"/>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5D8AF701">
            <w:pPr>
              <w:spacing w:line="360" w:lineRule="auto"/>
              <w:contextualSpacing/>
              <w:jc w:val="left"/>
              <w:rPr>
                <w:rFonts w:asciiTheme="minorEastAsia" w:hAnsiTheme="minorEastAsia"/>
                <w:bCs/>
                <w:color w:val="auto"/>
                <w:sz w:val="24"/>
                <w:highlight w:val="none"/>
              </w:rPr>
            </w:pPr>
          </w:p>
        </w:tc>
      </w:tr>
      <w:tr w14:paraId="7E4951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52865EF9">
            <w:pPr>
              <w:spacing w:line="360" w:lineRule="auto"/>
              <w:contextualSpacing/>
              <w:jc w:val="left"/>
              <w:rPr>
                <w:rFonts w:asciiTheme="minorEastAsia" w:hAnsiTheme="minorEastAsia"/>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088B4956">
            <w:pPr>
              <w:spacing w:line="360" w:lineRule="auto"/>
              <w:contextualSpacing/>
              <w:jc w:val="left"/>
              <w:rPr>
                <w:rFonts w:asciiTheme="minorEastAsia" w:hAnsiTheme="minorEastAsia"/>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15CDC4A9">
            <w:pPr>
              <w:spacing w:line="360" w:lineRule="auto"/>
              <w:contextualSpacing/>
              <w:jc w:val="left"/>
              <w:rPr>
                <w:rFonts w:asciiTheme="minorEastAsia" w:hAnsiTheme="minorEastAsia"/>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DB27D40">
            <w:pPr>
              <w:spacing w:line="360" w:lineRule="auto"/>
              <w:contextualSpacing/>
              <w:jc w:val="left"/>
              <w:rPr>
                <w:rFonts w:asciiTheme="minorEastAsia" w:hAnsiTheme="minorEastAsia"/>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411C3E1">
            <w:pPr>
              <w:spacing w:line="360" w:lineRule="auto"/>
              <w:contextualSpacing/>
              <w:jc w:val="left"/>
              <w:rPr>
                <w:rFonts w:asciiTheme="minorEastAsia" w:hAnsiTheme="minorEastAsia"/>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20AA3EFA">
            <w:pPr>
              <w:spacing w:line="360" w:lineRule="auto"/>
              <w:contextualSpacing/>
              <w:jc w:val="left"/>
              <w:rPr>
                <w:rFonts w:asciiTheme="minorEastAsia" w:hAnsiTheme="minorEastAsia"/>
                <w:bCs/>
                <w:color w:val="auto"/>
                <w:sz w:val="24"/>
                <w:highlight w:val="none"/>
              </w:rPr>
            </w:pPr>
          </w:p>
        </w:tc>
      </w:tr>
      <w:tr w14:paraId="74C790FB">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7F15D076">
            <w:pPr>
              <w:spacing w:line="360" w:lineRule="auto"/>
              <w:contextualSpacing/>
              <w:jc w:val="left"/>
              <w:rPr>
                <w:rFonts w:asciiTheme="minorEastAsia" w:hAnsiTheme="minorEastAsia"/>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1D40797C">
            <w:pPr>
              <w:spacing w:line="360" w:lineRule="auto"/>
              <w:contextualSpacing/>
              <w:jc w:val="left"/>
              <w:rPr>
                <w:rFonts w:asciiTheme="minorEastAsia" w:hAnsiTheme="minorEastAsia"/>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4BBD0589">
            <w:pPr>
              <w:spacing w:line="360" w:lineRule="auto"/>
              <w:contextualSpacing/>
              <w:jc w:val="left"/>
              <w:rPr>
                <w:rFonts w:asciiTheme="minorEastAsia" w:hAnsiTheme="minorEastAsia"/>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510CB2E9">
            <w:pPr>
              <w:spacing w:line="360" w:lineRule="auto"/>
              <w:contextualSpacing/>
              <w:jc w:val="left"/>
              <w:rPr>
                <w:rFonts w:asciiTheme="minorEastAsia" w:hAnsiTheme="minorEastAsia"/>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54E277">
            <w:pPr>
              <w:spacing w:line="360" w:lineRule="auto"/>
              <w:contextualSpacing/>
              <w:jc w:val="left"/>
              <w:rPr>
                <w:rFonts w:asciiTheme="minorEastAsia" w:hAnsiTheme="minorEastAsia"/>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43887159">
            <w:pPr>
              <w:spacing w:line="360" w:lineRule="auto"/>
              <w:contextualSpacing/>
              <w:jc w:val="left"/>
              <w:rPr>
                <w:rFonts w:asciiTheme="minorEastAsia" w:hAnsiTheme="minorEastAsia"/>
                <w:bCs/>
                <w:color w:val="auto"/>
                <w:sz w:val="24"/>
                <w:highlight w:val="none"/>
              </w:rPr>
            </w:pPr>
          </w:p>
        </w:tc>
      </w:tr>
      <w:tr w14:paraId="7B88E13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050A445B">
            <w:pPr>
              <w:spacing w:line="360" w:lineRule="auto"/>
              <w:contextualSpacing/>
              <w:jc w:val="left"/>
              <w:rPr>
                <w:rFonts w:asciiTheme="minorEastAsia" w:hAnsiTheme="minorEastAsia"/>
                <w:bCs/>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26E5F4AE">
            <w:pPr>
              <w:spacing w:line="360" w:lineRule="auto"/>
              <w:contextualSpacing/>
              <w:jc w:val="left"/>
              <w:rPr>
                <w:rFonts w:asciiTheme="minorEastAsia" w:hAnsiTheme="minorEastAsia"/>
                <w:bCs/>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7F51295">
            <w:pPr>
              <w:spacing w:line="360" w:lineRule="auto"/>
              <w:contextualSpacing/>
              <w:jc w:val="left"/>
              <w:rPr>
                <w:rFonts w:asciiTheme="minorEastAsia" w:hAnsiTheme="minorEastAsia"/>
                <w:bCs/>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1CE40BD7">
            <w:pPr>
              <w:spacing w:line="360" w:lineRule="auto"/>
              <w:contextualSpacing/>
              <w:jc w:val="left"/>
              <w:rPr>
                <w:rFonts w:asciiTheme="minorEastAsia" w:hAnsiTheme="minorEastAsia"/>
                <w:bCs/>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628B8004">
            <w:pPr>
              <w:spacing w:line="360" w:lineRule="auto"/>
              <w:contextualSpacing/>
              <w:jc w:val="left"/>
              <w:rPr>
                <w:rFonts w:asciiTheme="minorEastAsia" w:hAnsiTheme="minorEastAsia"/>
                <w:bCs/>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73F748EB">
            <w:pPr>
              <w:spacing w:line="360" w:lineRule="auto"/>
              <w:contextualSpacing/>
              <w:jc w:val="left"/>
              <w:rPr>
                <w:rFonts w:asciiTheme="minorEastAsia" w:hAnsiTheme="minorEastAsia"/>
                <w:bCs/>
                <w:color w:val="auto"/>
                <w:sz w:val="24"/>
                <w:highlight w:val="none"/>
              </w:rPr>
            </w:pPr>
          </w:p>
        </w:tc>
      </w:tr>
    </w:tbl>
    <w:p w14:paraId="51DE7DB4">
      <w:pPr>
        <w:spacing w:line="360" w:lineRule="auto"/>
        <w:contextualSpacing/>
        <w:jc w:val="left"/>
        <w:rPr>
          <w:rFonts w:asciiTheme="minorEastAsia" w:hAnsiTheme="minorEastAsia"/>
          <w:bCs/>
          <w:color w:val="auto"/>
          <w:sz w:val="24"/>
          <w:highlight w:val="none"/>
        </w:rPr>
      </w:pPr>
    </w:p>
    <w:p w14:paraId="14C6AAB5">
      <w:pPr>
        <w:spacing w:line="360" w:lineRule="auto"/>
        <w:contextualSpacing/>
        <w:jc w:val="left"/>
        <w:rPr>
          <w:rFonts w:asciiTheme="minorEastAsia" w:hAnsiTheme="minorEastAsia"/>
          <w:bCs/>
          <w:color w:val="auto"/>
          <w:sz w:val="24"/>
          <w:highlight w:val="none"/>
        </w:rPr>
      </w:pPr>
    </w:p>
    <w:p w14:paraId="321DC711">
      <w:pPr>
        <w:spacing w:line="360" w:lineRule="auto"/>
        <w:contextualSpacing/>
        <w:jc w:val="left"/>
        <w:rPr>
          <w:rFonts w:asciiTheme="minorEastAsia" w:hAnsiTheme="minorEastAsia"/>
          <w:bCs/>
          <w:color w:val="auto"/>
          <w:sz w:val="24"/>
          <w:highlight w:val="none"/>
        </w:rPr>
      </w:pPr>
      <w:r>
        <w:rPr>
          <w:rFonts w:asciiTheme="minorEastAsia" w:hAnsiTheme="minorEastAsia"/>
          <w:bCs/>
          <w:color w:val="auto"/>
          <w:sz w:val="24"/>
          <w:highlight w:val="none"/>
        </w:rPr>
        <w:t>供应商名称（加盖公章）：    ____________</w:t>
      </w:r>
    </w:p>
    <w:p w14:paraId="23ED80D7">
      <w:pPr>
        <w:spacing w:line="360" w:lineRule="auto"/>
        <w:contextualSpacing/>
        <w:jc w:val="left"/>
        <w:rPr>
          <w:rFonts w:asciiTheme="minorEastAsia" w:hAnsiTheme="minorEastAsia"/>
          <w:bCs/>
          <w:color w:val="auto"/>
          <w:sz w:val="24"/>
          <w:highlight w:val="none"/>
        </w:rPr>
        <w:sectPr>
          <w:pgSz w:w="11906" w:h="16838"/>
          <w:pgMar w:top="1440" w:right="1800" w:bottom="1440" w:left="1800" w:header="851" w:footer="992" w:gutter="0"/>
          <w:cols w:space="0" w:num="1"/>
          <w:docGrid w:type="lines" w:linePitch="312" w:charSpace="0"/>
        </w:sectPr>
      </w:pPr>
      <w:r>
        <w:rPr>
          <w:rFonts w:asciiTheme="minorEastAsia" w:hAnsiTheme="minorEastAsia"/>
          <w:bCs/>
          <w:color w:val="auto"/>
          <w:sz w:val="24"/>
          <w:highlight w:val="none"/>
        </w:rPr>
        <w:t xml:space="preserve">日期：_____年______月______日   </w:t>
      </w:r>
    </w:p>
    <w:p w14:paraId="71FF65F6">
      <w:pPr>
        <w:widowControl/>
        <w:jc w:val="left"/>
        <w:rPr>
          <w:rFonts w:asciiTheme="minorEastAsia" w:hAnsiTheme="minorEastAsia"/>
          <w:color w:val="auto"/>
          <w:sz w:val="24"/>
          <w:highlight w:val="none"/>
        </w:rPr>
      </w:pPr>
      <w:r>
        <w:rPr>
          <w:rFonts w:hint="eastAsia" w:asciiTheme="minorEastAsia" w:hAnsiTheme="minorEastAsia"/>
          <w:color w:val="auto"/>
          <w:sz w:val="24"/>
          <w:highlight w:val="none"/>
        </w:rPr>
        <w:t>12</w:t>
      </w:r>
      <w:r>
        <w:rPr>
          <w:rFonts w:asciiTheme="minorEastAsia" w:hAnsiTheme="minorEastAsia"/>
          <w:color w:val="auto"/>
          <w:sz w:val="24"/>
          <w:highlight w:val="none"/>
        </w:rPr>
        <w:t xml:space="preserve"> 磋商文件要求提供或供应商认为应附的其他材料</w:t>
      </w:r>
    </w:p>
    <w:p w14:paraId="647F604A">
      <w:pPr>
        <w:spacing w:line="360" w:lineRule="auto"/>
        <w:contextualSpacing/>
        <w:jc w:val="left"/>
        <w:rPr>
          <w:rFonts w:asciiTheme="minorEastAsia" w:hAnsiTheme="minorEastAsia"/>
          <w:bCs/>
          <w:color w:val="auto"/>
          <w:sz w:val="24"/>
          <w:highlight w:val="none"/>
        </w:rPr>
      </w:pPr>
    </w:p>
    <w:p w14:paraId="30744BE6">
      <w:pPr>
        <w:spacing w:line="360" w:lineRule="auto"/>
        <w:contextualSpacing/>
        <w:jc w:val="left"/>
        <w:rPr>
          <w:rFonts w:asciiTheme="minorEastAsia" w:hAnsiTheme="minorEastAsia"/>
          <w:bCs/>
          <w:color w:val="auto"/>
          <w:sz w:val="24"/>
          <w:highlight w:val="none"/>
        </w:rPr>
      </w:pPr>
    </w:p>
    <w:p w14:paraId="159881EF">
      <w:pPr>
        <w:spacing w:line="360" w:lineRule="auto"/>
        <w:contextualSpacing/>
        <w:jc w:val="left"/>
        <w:rPr>
          <w:rFonts w:asciiTheme="minorEastAsia" w:hAnsiTheme="minorEastAsia"/>
          <w:bCs/>
          <w:color w:val="auto"/>
          <w:sz w:val="24"/>
          <w:highlight w:val="none"/>
        </w:rPr>
      </w:pPr>
    </w:p>
    <w:p w14:paraId="223DCED8">
      <w:pPr>
        <w:spacing w:line="360" w:lineRule="auto"/>
        <w:jc w:val="center"/>
        <w:outlineLvl w:val="2"/>
        <w:rPr>
          <w:rFonts w:asciiTheme="minorEastAsia" w:hAnsiTheme="minorEastAsia"/>
          <w:color w:val="auto"/>
          <w:sz w:val="24"/>
          <w:highlight w:val="none"/>
        </w:rPr>
      </w:pPr>
      <w:r>
        <w:rPr>
          <w:rFonts w:hint="eastAsia" w:asciiTheme="minorEastAsia" w:hAnsiTheme="minorEastAsia"/>
          <w:color w:val="auto"/>
          <w:sz w:val="24"/>
          <w:highlight w:val="none"/>
        </w:rPr>
        <w:t>（全文完）</w:t>
      </w:r>
    </w:p>
    <w:sectPr>
      <w:pgSz w:w="11906" w:h="16838"/>
      <w:pgMar w:top="1440" w:right="1800" w:bottom="1440"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swiss"/>
    <w:pitch w:val="default"/>
    <w:sig w:usb0="F7FFAEFF" w:usb1="F9DFFFFF" w:usb2="0000007F" w:usb3="00000000" w:csb0="203F01FF" w:csb1="D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C0DB8F">
    <w:pPr>
      <w:pStyle w:val="13"/>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980EF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BEE74B">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8355928"/>
    </w:sdtPr>
    <w:sdtContent>
      <w:p w14:paraId="3108132C">
        <w:pPr>
          <w:pStyle w:val="13"/>
          <w:jc w:val="center"/>
        </w:pPr>
        <w:r>
          <w:fldChar w:fldCharType="begin"/>
        </w:r>
        <w:r>
          <w:instrText xml:space="preserve"> PAGE   \* MERGEFORMAT </w:instrText>
        </w:r>
        <w:r>
          <w:fldChar w:fldCharType="separate"/>
        </w:r>
        <w:r>
          <w:rPr>
            <w:lang w:val="zh-CN"/>
          </w:rPr>
          <w:t>35</w:t>
        </w:r>
        <w:r>
          <w:rPr>
            <w:lang w:val="zh-C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F94FB">
    <w:pPr>
      <w:pStyle w:val="14"/>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216064">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A1D3D">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553C79"/>
    <w:multiLevelType w:val="singleLevel"/>
    <w:tmpl w:val="8A553C79"/>
    <w:lvl w:ilvl="0" w:tentative="0">
      <w:start w:val="3"/>
      <w:numFmt w:val="decimal"/>
      <w:lvlText w:val="%1."/>
      <w:lvlJc w:val="left"/>
      <w:pPr>
        <w:tabs>
          <w:tab w:val="left" w:pos="312"/>
        </w:tabs>
      </w:pPr>
    </w:lvl>
  </w:abstractNum>
  <w:abstractNum w:abstractNumId="1">
    <w:nsid w:val="D02CA717"/>
    <w:multiLevelType w:val="singleLevel"/>
    <w:tmpl w:val="D02CA717"/>
    <w:lvl w:ilvl="0" w:tentative="0">
      <w:start w:val="1"/>
      <w:numFmt w:val="chineseCounting"/>
      <w:suff w:val="nothing"/>
      <w:lvlText w:val="（%1）"/>
      <w:lvlJc w:val="left"/>
      <w:rPr>
        <w:rFonts w:hint="eastAsia"/>
      </w:rPr>
    </w:lvl>
  </w:abstractNum>
  <w:abstractNum w:abstractNumId="2">
    <w:nsid w:val="D7E2A717"/>
    <w:multiLevelType w:val="singleLevel"/>
    <w:tmpl w:val="D7E2A717"/>
    <w:lvl w:ilvl="0" w:tentative="0">
      <w:start w:val="1"/>
      <w:numFmt w:val="decimal"/>
      <w:lvlText w:val="%1."/>
      <w:lvlJc w:val="left"/>
      <w:pPr>
        <w:ind w:left="425" w:hanging="425"/>
      </w:pPr>
      <w:rPr>
        <w:rFonts w:hint="default"/>
      </w:rPr>
    </w:lvl>
  </w:abstractNum>
  <w:abstractNum w:abstractNumId="3">
    <w:nsid w:val="ECF3371B"/>
    <w:multiLevelType w:val="singleLevel"/>
    <w:tmpl w:val="ECF3371B"/>
    <w:lvl w:ilvl="0" w:tentative="0">
      <w:start w:val="4"/>
      <w:numFmt w:val="chineseCounting"/>
      <w:suff w:val="space"/>
      <w:lvlText w:val="第%1章"/>
      <w:lvlJc w:val="left"/>
      <w:rPr>
        <w:rFonts w:hint="eastAsia"/>
      </w:rPr>
    </w:lvl>
  </w:abstractNum>
  <w:abstractNum w:abstractNumId="4">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5">
    <w:nsid w:val="0E2D3882"/>
    <w:multiLevelType w:val="singleLevel"/>
    <w:tmpl w:val="0E2D3882"/>
    <w:lvl w:ilvl="0" w:tentative="0">
      <w:start w:val="4"/>
      <w:numFmt w:val="chineseCounting"/>
      <w:suff w:val="nothing"/>
      <w:lvlText w:val="（%1）"/>
      <w:lvlJc w:val="left"/>
      <w:rPr>
        <w:rFonts w:hint="eastAsia"/>
      </w:rPr>
    </w:lvl>
  </w:abstractNum>
  <w:abstractNum w:abstractNumId="6">
    <w:nsid w:val="26E051A7"/>
    <w:multiLevelType w:val="singleLevel"/>
    <w:tmpl w:val="26E051A7"/>
    <w:lvl w:ilvl="0" w:tentative="0">
      <w:start w:val="2"/>
      <w:numFmt w:val="chineseCounting"/>
      <w:suff w:val="nothing"/>
      <w:lvlText w:val="%1、"/>
      <w:lvlJc w:val="left"/>
      <w:rPr>
        <w:rFonts w:hint="eastAsia"/>
      </w:rPr>
    </w:lvl>
  </w:abstractNum>
  <w:abstractNum w:abstractNumId="7">
    <w:nsid w:val="2ACB6A07"/>
    <w:multiLevelType w:val="multilevel"/>
    <w:tmpl w:val="2ACB6A07"/>
    <w:lvl w:ilvl="0" w:tentative="0">
      <w:start w:val="1"/>
      <w:numFmt w:val="decimal"/>
      <w:lvlText w:val="%1"/>
      <w:lvlJc w:val="left"/>
      <w:pPr>
        <w:ind w:left="284" w:hanging="284"/>
      </w:pPr>
      <w:rPr>
        <w:rFonts w:hint="eastAsia"/>
      </w:rPr>
    </w:lvl>
    <w:lvl w:ilvl="1" w:tentative="0">
      <w:start w:val="1"/>
      <w:numFmt w:val="decimal"/>
      <w:lvlText w:val="%1.%2"/>
      <w:lvlJc w:val="left"/>
      <w:pPr>
        <w:ind w:left="850" w:hanging="566"/>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8">
    <w:nsid w:val="5C626ECF"/>
    <w:multiLevelType w:val="multilevel"/>
    <w:tmpl w:val="5C626ECF"/>
    <w:lvl w:ilvl="0" w:tentative="0">
      <w:start w:val="1"/>
      <w:numFmt w:val="decimal"/>
      <w:lvlText w:val="%1"/>
      <w:lvlJc w:val="left"/>
      <w:pPr>
        <w:ind w:left="284" w:hanging="284"/>
      </w:pPr>
      <w:rPr>
        <w:rFonts w:hint="eastAsia"/>
      </w:rPr>
    </w:lvl>
    <w:lvl w:ilvl="1" w:tentative="0">
      <w:start w:val="1"/>
      <w:numFmt w:val="decimal"/>
      <w:lvlText w:val="%1.%2"/>
      <w:lvlJc w:val="left"/>
      <w:pPr>
        <w:ind w:left="1134" w:hanging="1134"/>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9">
    <w:nsid w:val="7F0C48D3"/>
    <w:multiLevelType w:val="multilevel"/>
    <w:tmpl w:val="7F0C48D3"/>
    <w:lvl w:ilvl="0" w:tentative="0">
      <w:start w:val="1"/>
      <w:numFmt w:val="decimal"/>
      <w:lvlText w:val="%1"/>
      <w:lvlJc w:val="left"/>
      <w:pPr>
        <w:ind w:left="284" w:hanging="284"/>
      </w:pPr>
      <w:rPr>
        <w:rFonts w:hint="eastAsia"/>
      </w:rPr>
    </w:lvl>
    <w:lvl w:ilvl="1" w:tentative="0">
      <w:start w:val="1"/>
      <w:numFmt w:val="decimal"/>
      <w:lvlText w:val="%1.%2"/>
      <w:lvlJc w:val="left"/>
      <w:pPr>
        <w:ind w:left="851" w:hanging="567"/>
      </w:pPr>
      <w:rPr>
        <w:rFonts w:hint="eastAsia"/>
      </w:rPr>
    </w:lvl>
    <w:lvl w:ilvl="2" w:tentative="0">
      <w:start w:val="1"/>
      <w:numFmt w:val="decimal"/>
      <w:lvlText w:val="%1.%2.%3"/>
      <w:lvlJc w:val="left"/>
      <w:pPr>
        <w:ind w:left="1418" w:hanging="851"/>
      </w:pPr>
      <w:rPr>
        <w:rFonts w:hint="eastAsia" w:asciiTheme="minorEastAsia" w:hAnsiTheme="minorEastAsia" w:eastAsiaTheme="minor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8"/>
  </w:num>
  <w:num w:numId="2">
    <w:abstractNumId w:val="9"/>
  </w:num>
  <w:num w:numId="3">
    <w:abstractNumId w:val="7"/>
  </w:num>
  <w:num w:numId="4">
    <w:abstractNumId w:val="0"/>
  </w:num>
  <w:num w:numId="5">
    <w:abstractNumId w:val="3"/>
  </w:num>
  <w:num w:numId="6">
    <w:abstractNumId w:val="6"/>
  </w:num>
  <w:num w:numId="7">
    <w:abstractNumId w:val="1"/>
  </w:num>
  <w:num w:numId="8">
    <w:abstractNumId w:val="2"/>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zY2YyNGVlZGNhN2U1MDk4N2Q3NTJlZTFhMWZkNTMifQ=="/>
  </w:docVars>
  <w:rsids>
    <w:rsidRoot w:val="00F55F37"/>
    <w:rsid w:val="0000001A"/>
    <w:rsid w:val="00000523"/>
    <w:rsid w:val="00002AAE"/>
    <w:rsid w:val="0000723C"/>
    <w:rsid w:val="00007B68"/>
    <w:rsid w:val="00013E62"/>
    <w:rsid w:val="000157CC"/>
    <w:rsid w:val="00017A49"/>
    <w:rsid w:val="00020C56"/>
    <w:rsid w:val="00022053"/>
    <w:rsid w:val="000238A6"/>
    <w:rsid w:val="00024AC0"/>
    <w:rsid w:val="00025E5D"/>
    <w:rsid w:val="00025E97"/>
    <w:rsid w:val="0002635C"/>
    <w:rsid w:val="000321C9"/>
    <w:rsid w:val="000343A3"/>
    <w:rsid w:val="000360E0"/>
    <w:rsid w:val="00037B93"/>
    <w:rsid w:val="00042F01"/>
    <w:rsid w:val="00043E23"/>
    <w:rsid w:val="000443BD"/>
    <w:rsid w:val="000453D2"/>
    <w:rsid w:val="000454C8"/>
    <w:rsid w:val="0004685A"/>
    <w:rsid w:val="00052BD8"/>
    <w:rsid w:val="00053721"/>
    <w:rsid w:val="00054F01"/>
    <w:rsid w:val="000570F7"/>
    <w:rsid w:val="00061DA5"/>
    <w:rsid w:val="000635CC"/>
    <w:rsid w:val="00064BA3"/>
    <w:rsid w:val="0006557C"/>
    <w:rsid w:val="00066320"/>
    <w:rsid w:val="00066B51"/>
    <w:rsid w:val="00067011"/>
    <w:rsid w:val="00071402"/>
    <w:rsid w:val="00071E98"/>
    <w:rsid w:val="00072963"/>
    <w:rsid w:val="00072A52"/>
    <w:rsid w:val="00076445"/>
    <w:rsid w:val="00081BFC"/>
    <w:rsid w:val="00082090"/>
    <w:rsid w:val="0008249C"/>
    <w:rsid w:val="000827D2"/>
    <w:rsid w:val="00082B2C"/>
    <w:rsid w:val="000841A9"/>
    <w:rsid w:val="00084B34"/>
    <w:rsid w:val="00084B45"/>
    <w:rsid w:val="00084C86"/>
    <w:rsid w:val="00085747"/>
    <w:rsid w:val="0008748D"/>
    <w:rsid w:val="00090B7F"/>
    <w:rsid w:val="00093518"/>
    <w:rsid w:val="00097000"/>
    <w:rsid w:val="00097599"/>
    <w:rsid w:val="000A018F"/>
    <w:rsid w:val="000A1D91"/>
    <w:rsid w:val="000A34AF"/>
    <w:rsid w:val="000A4651"/>
    <w:rsid w:val="000A5251"/>
    <w:rsid w:val="000B0206"/>
    <w:rsid w:val="000B0A8D"/>
    <w:rsid w:val="000B351F"/>
    <w:rsid w:val="000B363D"/>
    <w:rsid w:val="000B4A09"/>
    <w:rsid w:val="000B67F1"/>
    <w:rsid w:val="000B7317"/>
    <w:rsid w:val="000B7349"/>
    <w:rsid w:val="000C08D2"/>
    <w:rsid w:val="000C2D7F"/>
    <w:rsid w:val="000C5190"/>
    <w:rsid w:val="000D03F9"/>
    <w:rsid w:val="000D06C3"/>
    <w:rsid w:val="000D0D58"/>
    <w:rsid w:val="000D15AC"/>
    <w:rsid w:val="000D1F35"/>
    <w:rsid w:val="000D2ED7"/>
    <w:rsid w:val="000D4C0E"/>
    <w:rsid w:val="000D71B1"/>
    <w:rsid w:val="000E0EEC"/>
    <w:rsid w:val="000E2AB0"/>
    <w:rsid w:val="000E585B"/>
    <w:rsid w:val="000E7F01"/>
    <w:rsid w:val="000F0905"/>
    <w:rsid w:val="000F1EF0"/>
    <w:rsid w:val="000F2242"/>
    <w:rsid w:val="000F2477"/>
    <w:rsid w:val="000F2CEC"/>
    <w:rsid w:val="000F360A"/>
    <w:rsid w:val="000F4D5E"/>
    <w:rsid w:val="000F68EF"/>
    <w:rsid w:val="00101446"/>
    <w:rsid w:val="00101522"/>
    <w:rsid w:val="00101559"/>
    <w:rsid w:val="00102558"/>
    <w:rsid w:val="00106127"/>
    <w:rsid w:val="001103F3"/>
    <w:rsid w:val="00110792"/>
    <w:rsid w:val="00111361"/>
    <w:rsid w:val="001114F2"/>
    <w:rsid w:val="0011498D"/>
    <w:rsid w:val="00120153"/>
    <w:rsid w:val="00120BEA"/>
    <w:rsid w:val="00120C1E"/>
    <w:rsid w:val="001213ED"/>
    <w:rsid w:val="00121BC5"/>
    <w:rsid w:val="00122493"/>
    <w:rsid w:val="00123468"/>
    <w:rsid w:val="0012532D"/>
    <w:rsid w:val="00127C10"/>
    <w:rsid w:val="00130F6D"/>
    <w:rsid w:val="00131136"/>
    <w:rsid w:val="0013241E"/>
    <w:rsid w:val="0013270F"/>
    <w:rsid w:val="00134845"/>
    <w:rsid w:val="00134CA0"/>
    <w:rsid w:val="001357CE"/>
    <w:rsid w:val="00136B30"/>
    <w:rsid w:val="00140789"/>
    <w:rsid w:val="00142BE3"/>
    <w:rsid w:val="00142F6F"/>
    <w:rsid w:val="00143E7C"/>
    <w:rsid w:val="001477F7"/>
    <w:rsid w:val="001512C1"/>
    <w:rsid w:val="001519AD"/>
    <w:rsid w:val="001608F8"/>
    <w:rsid w:val="00160CF3"/>
    <w:rsid w:val="00161B18"/>
    <w:rsid w:val="00162D86"/>
    <w:rsid w:val="00163FF1"/>
    <w:rsid w:val="00164635"/>
    <w:rsid w:val="00165318"/>
    <w:rsid w:val="00167D89"/>
    <w:rsid w:val="001741BD"/>
    <w:rsid w:val="00175EF2"/>
    <w:rsid w:val="0017661B"/>
    <w:rsid w:val="00176EFB"/>
    <w:rsid w:val="00180215"/>
    <w:rsid w:val="00184C9E"/>
    <w:rsid w:val="00191E52"/>
    <w:rsid w:val="00193273"/>
    <w:rsid w:val="001935BF"/>
    <w:rsid w:val="001A176C"/>
    <w:rsid w:val="001A5F6E"/>
    <w:rsid w:val="001A62D4"/>
    <w:rsid w:val="001A6A7F"/>
    <w:rsid w:val="001A6E8F"/>
    <w:rsid w:val="001B09C8"/>
    <w:rsid w:val="001B0BAC"/>
    <w:rsid w:val="001B1870"/>
    <w:rsid w:val="001B3C01"/>
    <w:rsid w:val="001B3DAA"/>
    <w:rsid w:val="001B41BE"/>
    <w:rsid w:val="001B4D84"/>
    <w:rsid w:val="001C18F6"/>
    <w:rsid w:val="001C1E46"/>
    <w:rsid w:val="001C3AD0"/>
    <w:rsid w:val="001D10D4"/>
    <w:rsid w:val="001D14D5"/>
    <w:rsid w:val="001D21DB"/>
    <w:rsid w:val="001D2EAB"/>
    <w:rsid w:val="001D4D6D"/>
    <w:rsid w:val="001D664A"/>
    <w:rsid w:val="001E0AFF"/>
    <w:rsid w:val="001E41F7"/>
    <w:rsid w:val="001E46FF"/>
    <w:rsid w:val="001E4CD1"/>
    <w:rsid w:val="001E5AB8"/>
    <w:rsid w:val="001F04BE"/>
    <w:rsid w:val="001F248B"/>
    <w:rsid w:val="001F2C90"/>
    <w:rsid w:val="001F3425"/>
    <w:rsid w:val="001F3729"/>
    <w:rsid w:val="001F532A"/>
    <w:rsid w:val="001F7F2F"/>
    <w:rsid w:val="0020159E"/>
    <w:rsid w:val="0020449E"/>
    <w:rsid w:val="002054EC"/>
    <w:rsid w:val="002073A7"/>
    <w:rsid w:val="002079B0"/>
    <w:rsid w:val="00207BD8"/>
    <w:rsid w:val="00212B45"/>
    <w:rsid w:val="00214482"/>
    <w:rsid w:val="00216CEB"/>
    <w:rsid w:val="00221D34"/>
    <w:rsid w:val="002279B0"/>
    <w:rsid w:val="00230883"/>
    <w:rsid w:val="002309EA"/>
    <w:rsid w:val="0023171D"/>
    <w:rsid w:val="0023240C"/>
    <w:rsid w:val="00234F3B"/>
    <w:rsid w:val="00235406"/>
    <w:rsid w:val="00236372"/>
    <w:rsid w:val="002363DD"/>
    <w:rsid w:val="00236974"/>
    <w:rsid w:val="00237383"/>
    <w:rsid w:val="002400C3"/>
    <w:rsid w:val="00241523"/>
    <w:rsid w:val="00241990"/>
    <w:rsid w:val="0024491B"/>
    <w:rsid w:val="0024594C"/>
    <w:rsid w:val="00245C74"/>
    <w:rsid w:val="00246547"/>
    <w:rsid w:val="002467C4"/>
    <w:rsid w:val="0024756C"/>
    <w:rsid w:val="002479B0"/>
    <w:rsid w:val="002521D4"/>
    <w:rsid w:val="00253505"/>
    <w:rsid w:val="0025385E"/>
    <w:rsid w:val="0025539A"/>
    <w:rsid w:val="0025586C"/>
    <w:rsid w:val="0025683D"/>
    <w:rsid w:val="0025698C"/>
    <w:rsid w:val="0026014C"/>
    <w:rsid w:val="00261CEB"/>
    <w:rsid w:val="00262DA3"/>
    <w:rsid w:val="0026452D"/>
    <w:rsid w:val="0026474D"/>
    <w:rsid w:val="002649C6"/>
    <w:rsid w:val="00264DF6"/>
    <w:rsid w:val="002653C6"/>
    <w:rsid w:val="00266C34"/>
    <w:rsid w:val="00267414"/>
    <w:rsid w:val="0027146C"/>
    <w:rsid w:val="00271CE7"/>
    <w:rsid w:val="00272064"/>
    <w:rsid w:val="0027433B"/>
    <w:rsid w:val="00275ED9"/>
    <w:rsid w:val="002766BD"/>
    <w:rsid w:val="00281B33"/>
    <w:rsid w:val="002832F8"/>
    <w:rsid w:val="002833EA"/>
    <w:rsid w:val="00284F9E"/>
    <w:rsid w:val="002868BC"/>
    <w:rsid w:val="0029030C"/>
    <w:rsid w:val="00291749"/>
    <w:rsid w:val="002924C2"/>
    <w:rsid w:val="002935EB"/>
    <w:rsid w:val="00294CC5"/>
    <w:rsid w:val="00295E43"/>
    <w:rsid w:val="00297288"/>
    <w:rsid w:val="002A29CA"/>
    <w:rsid w:val="002A327B"/>
    <w:rsid w:val="002B24FB"/>
    <w:rsid w:val="002B3962"/>
    <w:rsid w:val="002B3C1F"/>
    <w:rsid w:val="002C4A74"/>
    <w:rsid w:val="002C5256"/>
    <w:rsid w:val="002C6ABC"/>
    <w:rsid w:val="002C77AA"/>
    <w:rsid w:val="002D5C97"/>
    <w:rsid w:val="002E3F7D"/>
    <w:rsid w:val="002E6398"/>
    <w:rsid w:val="002E727E"/>
    <w:rsid w:val="002E7540"/>
    <w:rsid w:val="002E75CA"/>
    <w:rsid w:val="002F465D"/>
    <w:rsid w:val="00304E8B"/>
    <w:rsid w:val="00306FE1"/>
    <w:rsid w:val="00310282"/>
    <w:rsid w:val="003107E9"/>
    <w:rsid w:val="003109B4"/>
    <w:rsid w:val="003120DD"/>
    <w:rsid w:val="00315D8C"/>
    <w:rsid w:val="00316073"/>
    <w:rsid w:val="00316DEA"/>
    <w:rsid w:val="00317026"/>
    <w:rsid w:val="003178AE"/>
    <w:rsid w:val="00321369"/>
    <w:rsid w:val="00322A48"/>
    <w:rsid w:val="0032673A"/>
    <w:rsid w:val="00327E15"/>
    <w:rsid w:val="00327EC5"/>
    <w:rsid w:val="00330786"/>
    <w:rsid w:val="003314C9"/>
    <w:rsid w:val="00332283"/>
    <w:rsid w:val="00333A9F"/>
    <w:rsid w:val="00333D04"/>
    <w:rsid w:val="003348A2"/>
    <w:rsid w:val="00335515"/>
    <w:rsid w:val="0033568A"/>
    <w:rsid w:val="00337E52"/>
    <w:rsid w:val="0034014A"/>
    <w:rsid w:val="00342A21"/>
    <w:rsid w:val="00342D4A"/>
    <w:rsid w:val="00345899"/>
    <w:rsid w:val="00347FCA"/>
    <w:rsid w:val="00351D54"/>
    <w:rsid w:val="00351FCA"/>
    <w:rsid w:val="003545AD"/>
    <w:rsid w:val="00356A2B"/>
    <w:rsid w:val="00361B34"/>
    <w:rsid w:val="0036278A"/>
    <w:rsid w:val="003628EE"/>
    <w:rsid w:val="0036487C"/>
    <w:rsid w:val="003659F2"/>
    <w:rsid w:val="003705FB"/>
    <w:rsid w:val="003715AE"/>
    <w:rsid w:val="00371FD8"/>
    <w:rsid w:val="00373928"/>
    <w:rsid w:val="00374BEB"/>
    <w:rsid w:val="00375631"/>
    <w:rsid w:val="00375A43"/>
    <w:rsid w:val="00376A95"/>
    <w:rsid w:val="00376EA4"/>
    <w:rsid w:val="0037719C"/>
    <w:rsid w:val="00377F2A"/>
    <w:rsid w:val="00381618"/>
    <w:rsid w:val="003826C6"/>
    <w:rsid w:val="0038297E"/>
    <w:rsid w:val="003834BB"/>
    <w:rsid w:val="00383E0A"/>
    <w:rsid w:val="003845A0"/>
    <w:rsid w:val="00387F89"/>
    <w:rsid w:val="003937AD"/>
    <w:rsid w:val="00393BE4"/>
    <w:rsid w:val="00395468"/>
    <w:rsid w:val="00396873"/>
    <w:rsid w:val="003A5D32"/>
    <w:rsid w:val="003A6F03"/>
    <w:rsid w:val="003B2FC4"/>
    <w:rsid w:val="003B371B"/>
    <w:rsid w:val="003B5023"/>
    <w:rsid w:val="003B58C1"/>
    <w:rsid w:val="003B593D"/>
    <w:rsid w:val="003B5B7C"/>
    <w:rsid w:val="003C294E"/>
    <w:rsid w:val="003C35D0"/>
    <w:rsid w:val="003D046F"/>
    <w:rsid w:val="003D2DC5"/>
    <w:rsid w:val="003D4D13"/>
    <w:rsid w:val="003E0727"/>
    <w:rsid w:val="003E1776"/>
    <w:rsid w:val="003E39A1"/>
    <w:rsid w:val="003E42F1"/>
    <w:rsid w:val="003E4E19"/>
    <w:rsid w:val="003E6248"/>
    <w:rsid w:val="003E6D4D"/>
    <w:rsid w:val="003E6E3A"/>
    <w:rsid w:val="003E70A2"/>
    <w:rsid w:val="003F23A1"/>
    <w:rsid w:val="003F2FAF"/>
    <w:rsid w:val="003F6967"/>
    <w:rsid w:val="003F7566"/>
    <w:rsid w:val="00404168"/>
    <w:rsid w:val="00405040"/>
    <w:rsid w:val="00406ACC"/>
    <w:rsid w:val="004077AD"/>
    <w:rsid w:val="00412B60"/>
    <w:rsid w:val="00412E1B"/>
    <w:rsid w:val="0041315D"/>
    <w:rsid w:val="00414031"/>
    <w:rsid w:val="004141C3"/>
    <w:rsid w:val="004144B4"/>
    <w:rsid w:val="00414588"/>
    <w:rsid w:val="004171DC"/>
    <w:rsid w:val="00417E9B"/>
    <w:rsid w:val="00420A78"/>
    <w:rsid w:val="00421696"/>
    <w:rsid w:val="00423473"/>
    <w:rsid w:val="00423ED9"/>
    <w:rsid w:val="00425981"/>
    <w:rsid w:val="004267A1"/>
    <w:rsid w:val="0043047B"/>
    <w:rsid w:val="004321CB"/>
    <w:rsid w:val="00432E31"/>
    <w:rsid w:val="00437EE1"/>
    <w:rsid w:val="004404D3"/>
    <w:rsid w:val="0044292F"/>
    <w:rsid w:val="00442F32"/>
    <w:rsid w:val="0044454C"/>
    <w:rsid w:val="00445938"/>
    <w:rsid w:val="00446AEA"/>
    <w:rsid w:val="00447D82"/>
    <w:rsid w:val="004509CA"/>
    <w:rsid w:val="00452950"/>
    <w:rsid w:val="004529A2"/>
    <w:rsid w:val="004531C4"/>
    <w:rsid w:val="00461486"/>
    <w:rsid w:val="004657F1"/>
    <w:rsid w:val="00467446"/>
    <w:rsid w:val="0046777A"/>
    <w:rsid w:val="004716F9"/>
    <w:rsid w:val="00472099"/>
    <w:rsid w:val="00475E20"/>
    <w:rsid w:val="0047632E"/>
    <w:rsid w:val="004766E6"/>
    <w:rsid w:val="004773DB"/>
    <w:rsid w:val="00477BF5"/>
    <w:rsid w:val="00481AD0"/>
    <w:rsid w:val="00482848"/>
    <w:rsid w:val="00485735"/>
    <w:rsid w:val="00486711"/>
    <w:rsid w:val="00486EEE"/>
    <w:rsid w:val="00487525"/>
    <w:rsid w:val="00490DB9"/>
    <w:rsid w:val="00492B78"/>
    <w:rsid w:val="0049364A"/>
    <w:rsid w:val="004A66FA"/>
    <w:rsid w:val="004A6DEE"/>
    <w:rsid w:val="004A75F0"/>
    <w:rsid w:val="004B0647"/>
    <w:rsid w:val="004B0AE7"/>
    <w:rsid w:val="004B11DC"/>
    <w:rsid w:val="004B1740"/>
    <w:rsid w:val="004B2D6D"/>
    <w:rsid w:val="004B37E7"/>
    <w:rsid w:val="004B631D"/>
    <w:rsid w:val="004B6597"/>
    <w:rsid w:val="004B709F"/>
    <w:rsid w:val="004C25C8"/>
    <w:rsid w:val="004C59CF"/>
    <w:rsid w:val="004C737F"/>
    <w:rsid w:val="004D08F3"/>
    <w:rsid w:val="004D1A58"/>
    <w:rsid w:val="004E0F06"/>
    <w:rsid w:val="004E3EB9"/>
    <w:rsid w:val="004E5A9F"/>
    <w:rsid w:val="004E7DE7"/>
    <w:rsid w:val="004F1BCD"/>
    <w:rsid w:val="004F4B27"/>
    <w:rsid w:val="00500D89"/>
    <w:rsid w:val="00502B24"/>
    <w:rsid w:val="00503C69"/>
    <w:rsid w:val="00504B33"/>
    <w:rsid w:val="0050752E"/>
    <w:rsid w:val="00510FEE"/>
    <w:rsid w:val="005138B8"/>
    <w:rsid w:val="00513EB7"/>
    <w:rsid w:val="00514B26"/>
    <w:rsid w:val="005153FF"/>
    <w:rsid w:val="0051575B"/>
    <w:rsid w:val="00522C31"/>
    <w:rsid w:val="00522CF3"/>
    <w:rsid w:val="005252E2"/>
    <w:rsid w:val="005370B1"/>
    <w:rsid w:val="005410E7"/>
    <w:rsid w:val="00542174"/>
    <w:rsid w:val="00543AFD"/>
    <w:rsid w:val="00545603"/>
    <w:rsid w:val="00552844"/>
    <w:rsid w:val="005534A3"/>
    <w:rsid w:val="005571A1"/>
    <w:rsid w:val="005617BB"/>
    <w:rsid w:val="00566393"/>
    <w:rsid w:val="00566676"/>
    <w:rsid w:val="005712CA"/>
    <w:rsid w:val="005715B9"/>
    <w:rsid w:val="00574968"/>
    <w:rsid w:val="00583C8A"/>
    <w:rsid w:val="00583D92"/>
    <w:rsid w:val="00584757"/>
    <w:rsid w:val="00585C50"/>
    <w:rsid w:val="00587C5D"/>
    <w:rsid w:val="00587F3A"/>
    <w:rsid w:val="00591A63"/>
    <w:rsid w:val="00591EAE"/>
    <w:rsid w:val="005950EC"/>
    <w:rsid w:val="00595245"/>
    <w:rsid w:val="005A0963"/>
    <w:rsid w:val="005A271A"/>
    <w:rsid w:val="005A399F"/>
    <w:rsid w:val="005A60B1"/>
    <w:rsid w:val="005A650F"/>
    <w:rsid w:val="005B281B"/>
    <w:rsid w:val="005B332B"/>
    <w:rsid w:val="005B3B0F"/>
    <w:rsid w:val="005B4207"/>
    <w:rsid w:val="005B516C"/>
    <w:rsid w:val="005B6D02"/>
    <w:rsid w:val="005C0278"/>
    <w:rsid w:val="005C329C"/>
    <w:rsid w:val="005C52C5"/>
    <w:rsid w:val="005C5463"/>
    <w:rsid w:val="005C5E5A"/>
    <w:rsid w:val="005C7472"/>
    <w:rsid w:val="005D6C43"/>
    <w:rsid w:val="005E18F4"/>
    <w:rsid w:val="005E1C33"/>
    <w:rsid w:val="005E2ED9"/>
    <w:rsid w:val="005E37E0"/>
    <w:rsid w:val="005E43F0"/>
    <w:rsid w:val="005E449F"/>
    <w:rsid w:val="005E58C7"/>
    <w:rsid w:val="005E5D7F"/>
    <w:rsid w:val="005E711C"/>
    <w:rsid w:val="005F0B08"/>
    <w:rsid w:val="005F13D9"/>
    <w:rsid w:val="005F1A85"/>
    <w:rsid w:val="005F2B3D"/>
    <w:rsid w:val="005F39BA"/>
    <w:rsid w:val="00600934"/>
    <w:rsid w:val="00605D5F"/>
    <w:rsid w:val="00606AF0"/>
    <w:rsid w:val="00610276"/>
    <w:rsid w:val="006107AE"/>
    <w:rsid w:val="006107EA"/>
    <w:rsid w:val="006111D5"/>
    <w:rsid w:val="006124ED"/>
    <w:rsid w:val="006126BC"/>
    <w:rsid w:val="006130A6"/>
    <w:rsid w:val="006136E1"/>
    <w:rsid w:val="0061395C"/>
    <w:rsid w:val="00614D36"/>
    <w:rsid w:val="00616139"/>
    <w:rsid w:val="00616387"/>
    <w:rsid w:val="0062549D"/>
    <w:rsid w:val="00626786"/>
    <w:rsid w:val="006271B9"/>
    <w:rsid w:val="00630461"/>
    <w:rsid w:val="00631BFD"/>
    <w:rsid w:val="00632332"/>
    <w:rsid w:val="0063326A"/>
    <w:rsid w:val="00635C9A"/>
    <w:rsid w:val="00637776"/>
    <w:rsid w:val="00637E1A"/>
    <w:rsid w:val="006401B0"/>
    <w:rsid w:val="0064065D"/>
    <w:rsid w:val="00640E14"/>
    <w:rsid w:val="00642C99"/>
    <w:rsid w:val="00642F51"/>
    <w:rsid w:val="00643739"/>
    <w:rsid w:val="0064454E"/>
    <w:rsid w:val="00644FBA"/>
    <w:rsid w:val="00645180"/>
    <w:rsid w:val="0064519B"/>
    <w:rsid w:val="00645DAE"/>
    <w:rsid w:val="00645E9F"/>
    <w:rsid w:val="00651380"/>
    <w:rsid w:val="00651723"/>
    <w:rsid w:val="00651D76"/>
    <w:rsid w:val="006522B7"/>
    <w:rsid w:val="0066065B"/>
    <w:rsid w:val="0066280C"/>
    <w:rsid w:val="00663FFB"/>
    <w:rsid w:val="00664826"/>
    <w:rsid w:val="00664D8D"/>
    <w:rsid w:val="006676DE"/>
    <w:rsid w:val="0066776C"/>
    <w:rsid w:val="0067326E"/>
    <w:rsid w:val="00673B99"/>
    <w:rsid w:val="0067619B"/>
    <w:rsid w:val="006775CE"/>
    <w:rsid w:val="006802DD"/>
    <w:rsid w:val="00681BC9"/>
    <w:rsid w:val="00682AB3"/>
    <w:rsid w:val="00686565"/>
    <w:rsid w:val="00687B76"/>
    <w:rsid w:val="00690DE6"/>
    <w:rsid w:val="00692DDC"/>
    <w:rsid w:val="00693B91"/>
    <w:rsid w:val="006943C9"/>
    <w:rsid w:val="006A13DD"/>
    <w:rsid w:val="006B0654"/>
    <w:rsid w:val="006B1C58"/>
    <w:rsid w:val="006B25E9"/>
    <w:rsid w:val="006B5AF5"/>
    <w:rsid w:val="006B5BE2"/>
    <w:rsid w:val="006B60E8"/>
    <w:rsid w:val="006B7193"/>
    <w:rsid w:val="006B77C7"/>
    <w:rsid w:val="006C088B"/>
    <w:rsid w:val="006C1043"/>
    <w:rsid w:val="006C1847"/>
    <w:rsid w:val="006C22D6"/>
    <w:rsid w:val="006C2BBA"/>
    <w:rsid w:val="006C6B70"/>
    <w:rsid w:val="006C6F09"/>
    <w:rsid w:val="006C6FB7"/>
    <w:rsid w:val="006D0A71"/>
    <w:rsid w:val="006D33FF"/>
    <w:rsid w:val="006D37FF"/>
    <w:rsid w:val="006D6CFF"/>
    <w:rsid w:val="006D70BE"/>
    <w:rsid w:val="006E4B1C"/>
    <w:rsid w:val="006E6CAC"/>
    <w:rsid w:val="006F21A6"/>
    <w:rsid w:val="006F7188"/>
    <w:rsid w:val="00700700"/>
    <w:rsid w:val="0070073D"/>
    <w:rsid w:val="00701CB1"/>
    <w:rsid w:val="00703161"/>
    <w:rsid w:val="00703930"/>
    <w:rsid w:val="00703A35"/>
    <w:rsid w:val="0071152E"/>
    <w:rsid w:val="00713B20"/>
    <w:rsid w:val="007147E5"/>
    <w:rsid w:val="00714959"/>
    <w:rsid w:val="00717FF6"/>
    <w:rsid w:val="00720707"/>
    <w:rsid w:val="00720997"/>
    <w:rsid w:val="007233F3"/>
    <w:rsid w:val="00723AC7"/>
    <w:rsid w:val="00726EE0"/>
    <w:rsid w:val="00727BEF"/>
    <w:rsid w:val="007338C0"/>
    <w:rsid w:val="00734AB7"/>
    <w:rsid w:val="00743F00"/>
    <w:rsid w:val="00743FB3"/>
    <w:rsid w:val="00744112"/>
    <w:rsid w:val="0074683D"/>
    <w:rsid w:val="00746E1C"/>
    <w:rsid w:val="00747017"/>
    <w:rsid w:val="00752A6F"/>
    <w:rsid w:val="007571C7"/>
    <w:rsid w:val="0076698F"/>
    <w:rsid w:val="007671F1"/>
    <w:rsid w:val="0077053B"/>
    <w:rsid w:val="00771387"/>
    <w:rsid w:val="00771A1C"/>
    <w:rsid w:val="007723D7"/>
    <w:rsid w:val="00773B10"/>
    <w:rsid w:val="007748FF"/>
    <w:rsid w:val="00782240"/>
    <w:rsid w:val="00782A67"/>
    <w:rsid w:val="00782BA6"/>
    <w:rsid w:val="00783F08"/>
    <w:rsid w:val="007848E8"/>
    <w:rsid w:val="00784BEF"/>
    <w:rsid w:val="007858AF"/>
    <w:rsid w:val="0078592E"/>
    <w:rsid w:val="00786035"/>
    <w:rsid w:val="00791C29"/>
    <w:rsid w:val="00792C78"/>
    <w:rsid w:val="00796904"/>
    <w:rsid w:val="00797932"/>
    <w:rsid w:val="007A0CF6"/>
    <w:rsid w:val="007A148A"/>
    <w:rsid w:val="007A1B49"/>
    <w:rsid w:val="007A24C8"/>
    <w:rsid w:val="007A52BD"/>
    <w:rsid w:val="007A55E4"/>
    <w:rsid w:val="007B06F6"/>
    <w:rsid w:val="007B0E90"/>
    <w:rsid w:val="007B2923"/>
    <w:rsid w:val="007B2A3A"/>
    <w:rsid w:val="007B30EF"/>
    <w:rsid w:val="007B3F5D"/>
    <w:rsid w:val="007B5526"/>
    <w:rsid w:val="007C2E53"/>
    <w:rsid w:val="007C2F3B"/>
    <w:rsid w:val="007C456A"/>
    <w:rsid w:val="007C460B"/>
    <w:rsid w:val="007D186E"/>
    <w:rsid w:val="007D7E6C"/>
    <w:rsid w:val="007D7F2E"/>
    <w:rsid w:val="007E021F"/>
    <w:rsid w:val="007E1B3B"/>
    <w:rsid w:val="007E1C1A"/>
    <w:rsid w:val="007E2E64"/>
    <w:rsid w:val="007E4234"/>
    <w:rsid w:val="007E50F8"/>
    <w:rsid w:val="007E6665"/>
    <w:rsid w:val="007E7ED9"/>
    <w:rsid w:val="007F090A"/>
    <w:rsid w:val="007F0C11"/>
    <w:rsid w:val="007F103E"/>
    <w:rsid w:val="007F20AC"/>
    <w:rsid w:val="007F278B"/>
    <w:rsid w:val="007F3611"/>
    <w:rsid w:val="007F5C04"/>
    <w:rsid w:val="007F6F96"/>
    <w:rsid w:val="007F7762"/>
    <w:rsid w:val="007F7B62"/>
    <w:rsid w:val="00800238"/>
    <w:rsid w:val="008002E9"/>
    <w:rsid w:val="008008AF"/>
    <w:rsid w:val="00810DA3"/>
    <w:rsid w:val="00822746"/>
    <w:rsid w:val="00823ADE"/>
    <w:rsid w:val="00823D68"/>
    <w:rsid w:val="00825153"/>
    <w:rsid w:val="00827348"/>
    <w:rsid w:val="00827861"/>
    <w:rsid w:val="0083153D"/>
    <w:rsid w:val="00832163"/>
    <w:rsid w:val="00833701"/>
    <w:rsid w:val="00834168"/>
    <w:rsid w:val="0083455F"/>
    <w:rsid w:val="00842CDD"/>
    <w:rsid w:val="00843102"/>
    <w:rsid w:val="00844250"/>
    <w:rsid w:val="00847653"/>
    <w:rsid w:val="008523FF"/>
    <w:rsid w:val="00852761"/>
    <w:rsid w:val="008539D7"/>
    <w:rsid w:val="00854139"/>
    <w:rsid w:val="00854AB7"/>
    <w:rsid w:val="00857101"/>
    <w:rsid w:val="008609D8"/>
    <w:rsid w:val="0086391D"/>
    <w:rsid w:val="008659B1"/>
    <w:rsid w:val="00867454"/>
    <w:rsid w:val="00871C77"/>
    <w:rsid w:val="0087554B"/>
    <w:rsid w:val="0087793B"/>
    <w:rsid w:val="00882C76"/>
    <w:rsid w:val="00891801"/>
    <w:rsid w:val="00894623"/>
    <w:rsid w:val="008A235E"/>
    <w:rsid w:val="008A379C"/>
    <w:rsid w:val="008A3DE2"/>
    <w:rsid w:val="008A43CB"/>
    <w:rsid w:val="008A4D32"/>
    <w:rsid w:val="008A70D7"/>
    <w:rsid w:val="008A7621"/>
    <w:rsid w:val="008B055D"/>
    <w:rsid w:val="008B068A"/>
    <w:rsid w:val="008B0CC7"/>
    <w:rsid w:val="008B3DA9"/>
    <w:rsid w:val="008B5459"/>
    <w:rsid w:val="008C022D"/>
    <w:rsid w:val="008C2B8A"/>
    <w:rsid w:val="008C3676"/>
    <w:rsid w:val="008C55A8"/>
    <w:rsid w:val="008C577C"/>
    <w:rsid w:val="008C5DDD"/>
    <w:rsid w:val="008D1306"/>
    <w:rsid w:val="008D18E0"/>
    <w:rsid w:val="008D5C2F"/>
    <w:rsid w:val="008E24CD"/>
    <w:rsid w:val="008E40D6"/>
    <w:rsid w:val="008E71B9"/>
    <w:rsid w:val="008E7C60"/>
    <w:rsid w:val="008F10C6"/>
    <w:rsid w:val="008F399F"/>
    <w:rsid w:val="008F40E2"/>
    <w:rsid w:val="008F4976"/>
    <w:rsid w:val="008F7A82"/>
    <w:rsid w:val="0090064A"/>
    <w:rsid w:val="00900A1F"/>
    <w:rsid w:val="009014B7"/>
    <w:rsid w:val="009058F1"/>
    <w:rsid w:val="00906840"/>
    <w:rsid w:val="00907329"/>
    <w:rsid w:val="0091323E"/>
    <w:rsid w:val="00913392"/>
    <w:rsid w:val="0091457B"/>
    <w:rsid w:val="009162F5"/>
    <w:rsid w:val="00916481"/>
    <w:rsid w:val="009169F8"/>
    <w:rsid w:val="00916C24"/>
    <w:rsid w:val="00920FAD"/>
    <w:rsid w:val="0092587C"/>
    <w:rsid w:val="00926EC7"/>
    <w:rsid w:val="00933BE2"/>
    <w:rsid w:val="00933DFB"/>
    <w:rsid w:val="00934546"/>
    <w:rsid w:val="00934BC5"/>
    <w:rsid w:val="00936EA0"/>
    <w:rsid w:val="00942100"/>
    <w:rsid w:val="00943112"/>
    <w:rsid w:val="009453F5"/>
    <w:rsid w:val="00945670"/>
    <w:rsid w:val="0094604F"/>
    <w:rsid w:val="00952EDF"/>
    <w:rsid w:val="00954AF8"/>
    <w:rsid w:val="009550BE"/>
    <w:rsid w:val="009566F2"/>
    <w:rsid w:val="0095737F"/>
    <w:rsid w:val="009576D2"/>
    <w:rsid w:val="009601B5"/>
    <w:rsid w:val="0096228C"/>
    <w:rsid w:val="00962582"/>
    <w:rsid w:val="00963254"/>
    <w:rsid w:val="00963EE5"/>
    <w:rsid w:val="00970E6D"/>
    <w:rsid w:val="00971C78"/>
    <w:rsid w:val="009732A0"/>
    <w:rsid w:val="009760B2"/>
    <w:rsid w:val="00976F1A"/>
    <w:rsid w:val="0098122B"/>
    <w:rsid w:val="009817D8"/>
    <w:rsid w:val="00981CD8"/>
    <w:rsid w:val="00983F70"/>
    <w:rsid w:val="00984127"/>
    <w:rsid w:val="00984F08"/>
    <w:rsid w:val="009862F7"/>
    <w:rsid w:val="00986F8F"/>
    <w:rsid w:val="0099059C"/>
    <w:rsid w:val="009905A9"/>
    <w:rsid w:val="00993DC2"/>
    <w:rsid w:val="00996402"/>
    <w:rsid w:val="00996FBC"/>
    <w:rsid w:val="009A059C"/>
    <w:rsid w:val="009A2E6B"/>
    <w:rsid w:val="009A2F69"/>
    <w:rsid w:val="009A352B"/>
    <w:rsid w:val="009A5A21"/>
    <w:rsid w:val="009A72F2"/>
    <w:rsid w:val="009B0232"/>
    <w:rsid w:val="009B0A45"/>
    <w:rsid w:val="009B3110"/>
    <w:rsid w:val="009B3977"/>
    <w:rsid w:val="009B3D75"/>
    <w:rsid w:val="009B493C"/>
    <w:rsid w:val="009B5A26"/>
    <w:rsid w:val="009B5ED4"/>
    <w:rsid w:val="009B61F6"/>
    <w:rsid w:val="009C7BF9"/>
    <w:rsid w:val="009D0FB6"/>
    <w:rsid w:val="009D3B86"/>
    <w:rsid w:val="009D5AE3"/>
    <w:rsid w:val="009D6506"/>
    <w:rsid w:val="009D74A9"/>
    <w:rsid w:val="009E0696"/>
    <w:rsid w:val="009E51EA"/>
    <w:rsid w:val="009E5B0C"/>
    <w:rsid w:val="009E63A7"/>
    <w:rsid w:val="009F0285"/>
    <w:rsid w:val="009F1F2E"/>
    <w:rsid w:val="009F2FE3"/>
    <w:rsid w:val="009F54D3"/>
    <w:rsid w:val="009F78F6"/>
    <w:rsid w:val="00A01D74"/>
    <w:rsid w:val="00A023AD"/>
    <w:rsid w:val="00A026B8"/>
    <w:rsid w:val="00A07100"/>
    <w:rsid w:val="00A110ED"/>
    <w:rsid w:val="00A15209"/>
    <w:rsid w:val="00A1697F"/>
    <w:rsid w:val="00A2024D"/>
    <w:rsid w:val="00A21317"/>
    <w:rsid w:val="00A22921"/>
    <w:rsid w:val="00A302B0"/>
    <w:rsid w:val="00A3215C"/>
    <w:rsid w:val="00A33011"/>
    <w:rsid w:val="00A333A3"/>
    <w:rsid w:val="00A403A6"/>
    <w:rsid w:val="00A4042F"/>
    <w:rsid w:val="00A40A86"/>
    <w:rsid w:val="00A412BB"/>
    <w:rsid w:val="00A4171E"/>
    <w:rsid w:val="00A42030"/>
    <w:rsid w:val="00A4355C"/>
    <w:rsid w:val="00A435CC"/>
    <w:rsid w:val="00A44827"/>
    <w:rsid w:val="00A44E11"/>
    <w:rsid w:val="00A4572C"/>
    <w:rsid w:val="00A505F2"/>
    <w:rsid w:val="00A54E2F"/>
    <w:rsid w:val="00A573F8"/>
    <w:rsid w:val="00A61814"/>
    <w:rsid w:val="00A628BA"/>
    <w:rsid w:val="00A63FD9"/>
    <w:rsid w:val="00A64CDC"/>
    <w:rsid w:val="00A74EE1"/>
    <w:rsid w:val="00A767B4"/>
    <w:rsid w:val="00A772EE"/>
    <w:rsid w:val="00A81DED"/>
    <w:rsid w:val="00A82918"/>
    <w:rsid w:val="00A83373"/>
    <w:rsid w:val="00A84563"/>
    <w:rsid w:val="00A907D2"/>
    <w:rsid w:val="00A91E37"/>
    <w:rsid w:val="00A920B4"/>
    <w:rsid w:val="00A930C0"/>
    <w:rsid w:val="00A94090"/>
    <w:rsid w:val="00AA0DFC"/>
    <w:rsid w:val="00AA25E3"/>
    <w:rsid w:val="00AA25F3"/>
    <w:rsid w:val="00AA3C80"/>
    <w:rsid w:val="00AA4CB0"/>
    <w:rsid w:val="00AA6352"/>
    <w:rsid w:val="00AA651F"/>
    <w:rsid w:val="00AB06FE"/>
    <w:rsid w:val="00AB1DF5"/>
    <w:rsid w:val="00AB21E3"/>
    <w:rsid w:val="00AB2630"/>
    <w:rsid w:val="00AB4D2A"/>
    <w:rsid w:val="00AC15D9"/>
    <w:rsid w:val="00AC2440"/>
    <w:rsid w:val="00AC27E3"/>
    <w:rsid w:val="00AC2C05"/>
    <w:rsid w:val="00AC4374"/>
    <w:rsid w:val="00AC4662"/>
    <w:rsid w:val="00AC46E3"/>
    <w:rsid w:val="00AC6C51"/>
    <w:rsid w:val="00AD0963"/>
    <w:rsid w:val="00AD428B"/>
    <w:rsid w:val="00AD5391"/>
    <w:rsid w:val="00AD7CB9"/>
    <w:rsid w:val="00AD7EB2"/>
    <w:rsid w:val="00AE0182"/>
    <w:rsid w:val="00AE0204"/>
    <w:rsid w:val="00AE1ECD"/>
    <w:rsid w:val="00AE3E16"/>
    <w:rsid w:val="00AE4185"/>
    <w:rsid w:val="00AE51E6"/>
    <w:rsid w:val="00AE5CB2"/>
    <w:rsid w:val="00AE5E59"/>
    <w:rsid w:val="00AE6567"/>
    <w:rsid w:val="00AF0A44"/>
    <w:rsid w:val="00AF0C41"/>
    <w:rsid w:val="00AF22DE"/>
    <w:rsid w:val="00AF28E4"/>
    <w:rsid w:val="00AF45B7"/>
    <w:rsid w:val="00AF52CC"/>
    <w:rsid w:val="00AF77CD"/>
    <w:rsid w:val="00B0602E"/>
    <w:rsid w:val="00B06FDF"/>
    <w:rsid w:val="00B075FA"/>
    <w:rsid w:val="00B0782F"/>
    <w:rsid w:val="00B1188E"/>
    <w:rsid w:val="00B15225"/>
    <w:rsid w:val="00B15FF3"/>
    <w:rsid w:val="00B160A8"/>
    <w:rsid w:val="00B166A5"/>
    <w:rsid w:val="00B170FE"/>
    <w:rsid w:val="00B216BA"/>
    <w:rsid w:val="00B239E2"/>
    <w:rsid w:val="00B2419B"/>
    <w:rsid w:val="00B244A1"/>
    <w:rsid w:val="00B24932"/>
    <w:rsid w:val="00B25095"/>
    <w:rsid w:val="00B25108"/>
    <w:rsid w:val="00B338B2"/>
    <w:rsid w:val="00B34970"/>
    <w:rsid w:val="00B350A9"/>
    <w:rsid w:val="00B364A3"/>
    <w:rsid w:val="00B36995"/>
    <w:rsid w:val="00B417E0"/>
    <w:rsid w:val="00B42CDE"/>
    <w:rsid w:val="00B47052"/>
    <w:rsid w:val="00B51603"/>
    <w:rsid w:val="00B5318E"/>
    <w:rsid w:val="00B54B6B"/>
    <w:rsid w:val="00B54E73"/>
    <w:rsid w:val="00B54F65"/>
    <w:rsid w:val="00B576A2"/>
    <w:rsid w:val="00B60AAE"/>
    <w:rsid w:val="00B65F83"/>
    <w:rsid w:val="00B70A91"/>
    <w:rsid w:val="00B70B1A"/>
    <w:rsid w:val="00B70BAA"/>
    <w:rsid w:val="00B71630"/>
    <w:rsid w:val="00B71E31"/>
    <w:rsid w:val="00B71EB0"/>
    <w:rsid w:val="00B72142"/>
    <w:rsid w:val="00B7274B"/>
    <w:rsid w:val="00B72910"/>
    <w:rsid w:val="00B73304"/>
    <w:rsid w:val="00B748B7"/>
    <w:rsid w:val="00B74C88"/>
    <w:rsid w:val="00B75413"/>
    <w:rsid w:val="00B82C9B"/>
    <w:rsid w:val="00B84489"/>
    <w:rsid w:val="00B85C6E"/>
    <w:rsid w:val="00B86C09"/>
    <w:rsid w:val="00B92BF1"/>
    <w:rsid w:val="00B937F8"/>
    <w:rsid w:val="00BA23AD"/>
    <w:rsid w:val="00BA270C"/>
    <w:rsid w:val="00BA2E44"/>
    <w:rsid w:val="00BA3A55"/>
    <w:rsid w:val="00BA5A33"/>
    <w:rsid w:val="00BA709E"/>
    <w:rsid w:val="00BA7266"/>
    <w:rsid w:val="00BB1BF1"/>
    <w:rsid w:val="00BB28CC"/>
    <w:rsid w:val="00BB5EF7"/>
    <w:rsid w:val="00BB7399"/>
    <w:rsid w:val="00BB78BE"/>
    <w:rsid w:val="00BC0256"/>
    <w:rsid w:val="00BC0E03"/>
    <w:rsid w:val="00BC2A19"/>
    <w:rsid w:val="00BC498C"/>
    <w:rsid w:val="00BC5BE3"/>
    <w:rsid w:val="00BC7F79"/>
    <w:rsid w:val="00BD04EC"/>
    <w:rsid w:val="00BD0FE6"/>
    <w:rsid w:val="00BD334E"/>
    <w:rsid w:val="00BD3423"/>
    <w:rsid w:val="00BD3B86"/>
    <w:rsid w:val="00BD56AD"/>
    <w:rsid w:val="00BD5B5B"/>
    <w:rsid w:val="00BD6A01"/>
    <w:rsid w:val="00BD7759"/>
    <w:rsid w:val="00BD7937"/>
    <w:rsid w:val="00BD79FF"/>
    <w:rsid w:val="00BE205F"/>
    <w:rsid w:val="00BE3056"/>
    <w:rsid w:val="00BE37A2"/>
    <w:rsid w:val="00BE37C8"/>
    <w:rsid w:val="00BE570C"/>
    <w:rsid w:val="00BE7723"/>
    <w:rsid w:val="00BE7C6F"/>
    <w:rsid w:val="00BE7E0C"/>
    <w:rsid w:val="00BF045A"/>
    <w:rsid w:val="00BF0B03"/>
    <w:rsid w:val="00BF2585"/>
    <w:rsid w:val="00BF2634"/>
    <w:rsid w:val="00BF2A4F"/>
    <w:rsid w:val="00BF55A9"/>
    <w:rsid w:val="00BF6BBF"/>
    <w:rsid w:val="00BF796C"/>
    <w:rsid w:val="00C02593"/>
    <w:rsid w:val="00C03850"/>
    <w:rsid w:val="00C04EBD"/>
    <w:rsid w:val="00C06B5C"/>
    <w:rsid w:val="00C07AFA"/>
    <w:rsid w:val="00C1091A"/>
    <w:rsid w:val="00C12EB4"/>
    <w:rsid w:val="00C15528"/>
    <w:rsid w:val="00C17A44"/>
    <w:rsid w:val="00C24E01"/>
    <w:rsid w:val="00C24F18"/>
    <w:rsid w:val="00C273E5"/>
    <w:rsid w:val="00C30B94"/>
    <w:rsid w:val="00C3478C"/>
    <w:rsid w:val="00C41815"/>
    <w:rsid w:val="00C42D34"/>
    <w:rsid w:val="00C459F8"/>
    <w:rsid w:val="00C4726C"/>
    <w:rsid w:val="00C47A16"/>
    <w:rsid w:val="00C47E9E"/>
    <w:rsid w:val="00C50383"/>
    <w:rsid w:val="00C50BD7"/>
    <w:rsid w:val="00C5235B"/>
    <w:rsid w:val="00C535A3"/>
    <w:rsid w:val="00C6257E"/>
    <w:rsid w:val="00C638F4"/>
    <w:rsid w:val="00C652C0"/>
    <w:rsid w:val="00C65ACE"/>
    <w:rsid w:val="00C66051"/>
    <w:rsid w:val="00C71EE2"/>
    <w:rsid w:val="00C7246E"/>
    <w:rsid w:val="00C7528B"/>
    <w:rsid w:val="00C75878"/>
    <w:rsid w:val="00C8014E"/>
    <w:rsid w:val="00C81041"/>
    <w:rsid w:val="00C8197F"/>
    <w:rsid w:val="00C83630"/>
    <w:rsid w:val="00C847DF"/>
    <w:rsid w:val="00C87EA3"/>
    <w:rsid w:val="00C90979"/>
    <w:rsid w:val="00C90AD8"/>
    <w:rsid w:val="00C91D57"/>
    <w:rsid w:val="00C92149"/>
    <w:rsid w:val="00C92346"/>
    <w:rsid w:val="00C951EF"/>
    <w:rsid w:val="00C964B8"/>
    <w:rsid w:val="00C9718A"/>
    <w:rsid w:val="00CA0AA7"/>
    <w:rsid w:val="00CA111F"/>
    <w:rsid w:val="00CA12B7"/>
    <w:rsid w:val="00CA1884"/>
    <w:rsid w:val="00CA253E"/>
    <w:rsid w:val="00CA41D5"/>
    <w:rsid w:val="00CA42A9"/>
    <w:rsid w:val="00CA515F"/>
    <w:rsid w:val="00CA6CBD"/>
    <w:rsid w:val="00CA74A5"/>
    <w:rsid w:val="00CB02CC"/>
    <w:rsid w:val="00CB1EC9"/>
    <w:rsid w:val="00CB3DAD"/>
    <w:rsid w:val="00CB4432"/>
    <w:rsid w:val="00CC0C83"/>
    <w:rsid w:val="00CC17DA"/>
    <w:rsid w:val="00CC2399"/>
    <w:rsid w:val="00CC33EA"/>
    <w:rsid w:val="00CC686B"/>
    <w:rsid w:val="00CC7791"/>
    <w:rsid w:val="00CD0613"/>
    <w:rsid w:val="00CD101E"/>
    <w:rsid w:val="00CD152C"/>
    <w:rsid w:val="00CD2FB6"/>
    <w:rsid w:val="00CD4546"/>
    <w:rsid w:val="00CD54A3"/>
    <w:rsid w:val="00CD6B04"/>
    <w:rsid w:val="00CD79D1"/>
    <w:rsid w:val="00CD7E86"/>
    <w:rsid w:val="00CE4971"/>
    <w:rsid w:val="00CE6A44"/>
    <w:rsid w:val="00CF20C0"/>
    <w:rsid w:val="00CF2A88"/>
    <w:rsid w:val="00CF4454"/>
    <w:rsid w:val="00CF59EB"/>
    <w:rsid w:val="00CF60F0"/>
    <w:rsid w:val="00D03CA2"/>
    <w:rsid w:val="00D07E77"/>
    <w:rsid w:val="00D07F0C"/>
    <w:rsid w:val="00D10EC6"/>
    <w:rsid w:val="00D14ABB"/>
    <w:rsid w:val="00D15CFB"/>
    <w:rsid w:val="00D16CFE"/>
    <w:rsid w:val="00D16EEA"/>
    <w:rsid w:val="00D17A5E"/>
    <w:rsid w:val="00D20528"/>
    <w:rsid w:val="00D20CB3"/>
    <w:rsid w:val="00D214C6"/>
    <w:rsid w:val="00D241DC"/>
    <w:rsid w:val="00D24F5D"/>
    <w:rsid w:val="00D26006"/>
    <w:rsid w:val="00D319CC"/>
    <w:rsid w:val="00D359A5"/>
    <w:rsid w:val="00D35D18"/>
    <w:rsid w:val="00D3682C"/>
    <w:rsid w:val="00D40402"/>
    <w:rsid w:val="00D460E9"/>
    <w:rsid w:val="00D53729"/>
    <w:rsid w:val="00D576B9"/>
    <w:rsid w:val="00D6071A"/>
    <w:rsid w:val="00D60C44"/>
    <w:rsid w:val="00D62FD1"/>
    <w:rsid w:val="00D638E0"/>
    <w:rsid w:val="00D63EB8"/>
    <w:rsid w:val="00D657D7"/>
    <w:rsid w:val="00D66783"/>
    <w:rsid w:val="00D66E1B"/>
    <w:rsid w:val="00D67CE7"/>
    <w:rsid w:val="00D67D11"/>
    <w:rsid w:val="00D716B4"/>
    <w:rsid w:val="00D77300"/>
    <w:rsid w:val="00D77531"/>
    <w:rsid w:val="00D777CB"/>
    <w:rsid w:val="00D80B32"/>
    <w:rsid w:val="00D8110D"/>
    <w:rsid w:val="00D839B0"/>
    <w:rsid w:val="00D83D87"/>
    <w:rsid w:val="00D84409"/>
    <w:rsid w:val="00D91C6C"/>
    <w:rsid w:val="00D92D49"/>
    <w:rsid w:val="00D932AD"/>
    <w:rsid w:val="00D956E6"/>
    <w:rsid w:val="00D95F04"/>
    <w:rsid w:val="00DA0C2D"/>
    <w:rsid w:val="00DA1FFC"/>
    <w:rsid w:val="00DA3050"/>
    <w:rsid w:val="00DA596A"/>
    <w:rsid w:val="00DB054C"/>
    <w:rsid w:val="00DB16D0"/>
    <w:rsid w:val="00DB702B"/>
    <w:rsid w:val="00DB7E6A"/>
    <w:rsid w:val="00DC11F2"/>
    <w:rsid w:val="00DC19B3"/>
    <w:rsid w:val="00DC2039"/>
    <w:rsid w:val="00DC20A5"/>
    <w:rsid w:val="00DC476C"/>
    <w:rsid w:val="00DC4E39"/>
    <w:rsid w:val="00DD32F7"/>
    <w:rsid w:val="00DD5BEA"/>
    <w:rsid w:val="00DD74E1"/>
    <w:rsid w:val="00DD7E16"/>
    <w:rsid w:val="00DE5F59"/>
    <w:rsid w:val="00DE769A"/>
    <w:rsid w:val="00DF4383"/>
    <w:rsid w:val="00DF67D1"/>
    <w:rsid w:val="00E010B8"/>
    <w:rsid w:val="00E03F14"/>
    <w:rsid w:val="00E06C0C"/>
    <w:rsid w:val="00E104D2"/>
    <w:rsid w:val="00E1051D"/>
    <w:rsid w:val="00E117DA"/>
    <w:rsid w:val="00E13869"/>
    <w:rsid w:val="00E15283"/>
    <w:rsid w:val="00E20B8B"/>
    <w:rsid w:val="00E218B4"/>
    <w:rsid w:val="00E22423"/>
    <w:rsid w:val="00E22A2C"/>
    <w:rsid w:val="00E22E0F"/>
    <w:rsid w:val="00E23AB1"/>
    <w:rsid w:val="00E23B9A"/>
    <w:rsid w:val="00E2435E"/>
    <w:rsid w:val="00E24738"/>
    <w:rsid w:val="00E24E8A"/>
    <w:rsid w:val="00E2557C"/>
    <w:rsid w:val="00E26850"/>
    <w:rsid w:val="00E27912"/>
    <w:rsid w:val="00E32CED"/>
    <w:rsid w:val="00E33342"/>
    <w:rsid w:val="00E34108"/>
    <w:rsid w:val="00E36A6F"/>
    <w:rsid w:val="00E41D14"/>
    <w:rsid w:val="00E466E5"/>
    <w:rsid w:val="00E510A3"/>
    <w:rsid w:val="00E5139D"/>
    <w:rsid w:val="00E51BF0"/>
    <w:rsid w:val="00E536E1"/>
    <w:rsid w:val="00E54073"/>
    <w:rsid w:val="00E5458A"/>
    <w:rsid w:val="00E54D3B"/>
    <w:rsid w:val="00E563B3"/>
    <w:rsid w:val="00E6068F"/>
    <w:rsid w:val="00E62DC0"/>
    <w:rsid w:val="00E654FD"/>
    <w:rsid w:val="00E668A2"/>
    <w:rsid w:val="00E67E55"/>
    <w:rsid w:val="00E705A3"/>
    <w:rsid w:val="00E706DA"/>
    <w:rsid w:val="00E74853"/>
    <w:rsid w:val="00E74955"/>
    <w:rsid w:val="00E75488"/>
    <w:rsid w:val="00E77606"/>
    <w:rsid w:val="00E80899"/>
    <w:rsid w:val="00E81055"/>
    <w:rsid w:val="00E82541"/>
    <w:rsid w:val="00E82700"/>
    <w:rsid w:val="00E82A5C"/>
    <w:rsid w:val="00E8439F"/>
    <w:rsid w:val="00E847E8"/>
    <w:rsid w:val="00E8596A"/>
    <w:rsid w:val="00E85F89"/>
    <w:rsid w:val="00E875B6"/>
    <w:rsid w:val="00E8782C"/>
    <w:rsid w:val="00E87D84"/>
    <w:rsid w:val="00E90779"/>
    <w:rsid w:val="00E91711"/>
    <w:rsid w:val="00E91BC6"/>
    <w:rsid w:val="00E91DDC"/>
    <w:rsid w:val="00E92264"/>
    <w:rsid w:val="00E941D1"/>
    <w:rsid w:val="00E94ECD"/>
    <w:rsid w:val="00E9622C"/>
    <w:rsid w:val="00E96C44"/>
    <w:rsid w:val="00E97B6C"/>
    <w:rsid w:val="00EA1374"/>
    <w:rsid w:val="00EA1FCE"/>
    <w:rsid w:val="00EA3807"/>
    <w:rsid w:val="00EA4B87"/>
    <w:rsid w:val="00EA569E"/>
    <w:rsid w:val="00EA5C58"/>
    <w:rsid w:val="00EB1128"/>
    <w:rsid w:val="00EB3E90"/>
    <w:rsid w:val="00EB6FC0"/>
    <w:rsid w:val="00EC3969"/>
    <w:rsid w:val="00EC4AB9"/>
    <w:rsid w:val="00ED0F77"/>
    <w:rsid w:val="00ED1372"/>
    <w:rsid w:val="00ED43C0"/>
    <w:rsid w:val="00ED4A35"/>
    <w:rsid w:val="00ED4D7C"/>
    <w:rsid w:val="00ED6B54"/>
    <w:rsid w:val="00EE0B5A"/>
    <w:rsid w:val="00EE1BB1"/>
    <w:rsid w:val="00EE3C79"/>
    <w:rsid w:val="00EE5A34"/>
    <w:rsid w:val="00EE79C1"/>
    <w:rsid w:val="00EF0230"/>
    <w:rsid w:val="00EF50A6"/>
    <w:rsid w:val="00EF7217"/>
    <w:rsid w:val="00F00504"/>
    <w:rsid w:val="00F02684"/>
    <w:rsid w:val="00F04029"/>
    <w:rsid w:val="00F0705D"/>
    <w:rsid w:val="00F07D05"/>
    <w:rsid w:val="00F105C6"/>
    <w:rsid w:val="00F10ED5"/>
    <w:rsid w:val="00F11715"/>
    <w:rsid w:val="00F11ED2"/>
    <w:rsid w:val="00F12027"/>
    <w:rsid w:val="00F175C8"/>
    <w:rsid w:val="00F214CD"/>
    <w:rsid w:val="00F21536"/>
    <w:rsid w:val="00F23209"/>
    <w:rsid w:val="00F24275"/>
    <w:rsid w:val="00F2693B"/>
    <w:rsid w:val="00F27248"/>
    <w:rsid w:val="00F27DA3"/>
    <w:rsid w:val="00F30671"/>
    <w:rsid w:val="00F318DA"/>
    <w:rsid w:val="00F33137"/>
    <w:rsid w:val="00F34CB8"/>
    <w:rsid w:val="00F35AA8"/>
    <w:rsid w:val="00F40BAA"/>
    <w:rsid w:val="00F4114B"/>
    <w:rsid w:val="00F413AD"/>
    <w:rsid w:val="00F4181F"/>
    <w:rsid w:val="00F45C19"/>
    <w:rsid w:val="00F4671D"/>
    <w:rsid w:val="00F50926"/>
    <w:rsid w:val="00F5337A"/>
    <w:rsid w:val="00F53B3E"/>
    <w:rsid w:val="00F53D8E"/>
    <w:rsid w:val="00F55ADD"/>
    <w:rsid w:val="00F55F37"/>
    <w:rsid w:val="00F5720A"/>
    <w:rsid w:val="00F5771E"/>
    <w:rsid w:val="00F614D3"/>
    <w:rsid w:val="00F61E6E"/>
    <w:rsid w:val="00F626D0"/>
    <w:rsid w:val="00F653C1"/>
    <w:rsid w:val="00F71E25"/>
    <w:rsid w:val="00F729F3"/>
    <w:rsid w:val="00F738B1"/>
    <w:rsid w:val="00F73978"/>
    <w:rsid w:val="00F74A1D"/>
    <w:rsid w:val="00F76594"/>
    <w:rsid w:val="00F7784B"/>
    <w:rsid w:val="00F81902"/>
    <w:rsid w:val="00F82870"/>
    <w:rsid w:val="00F84747"/>
    <w:rsid w:val="00F857AD"/>
    <w:rsid w:val="00F85F51"/>
    <w:rsid w:val="00F90155"/>
    <w:rsid w:val="00F933F5"/>
    <w:rsid w:val="00F93E81"/>
    <w:rsid w:val="00F958D4"/>
    <w:rsid w:val="00F960D7"/>
    <w:rsid w:val="00F9660F"/>
    <w:rsid w:val="00F9754F"/>
    <w:rsid w:val="00F97843"/>
    <w:rsid w:val="00FA21D1"/>
    <w:rsid w:val="00FA2687"/>
    <w:rsid w:val="00FA3321"/>
    <w:rsid w:val="00FA358F"/>
    <w:rsid w:val="00FA5482"/>
    <w:rsid w:val="00FB05E6"/>
    <w:rsid w:val="00FB324A"/>
    <w:rsid w:val="00FB329A"/>
    <w:rsid w:val="00FB77D9"/>
    <w:rsid w:val="00FC4BAC"/>
    <w:rsid w:val="00FC4C99"/>
    <w:rsid w:val="00FC63BB"/>
    <w:rsid w:val="00FC691C"/>
    <w:rsid w:val="00FC6BF1"/>
    <w:rsid w:val="00FD2095"/>
    <w:rsid w:val="00FD2EED"/>
    <w:rsid w:val="00FD4275"/>
    <w:rsid w:val="00FD53D8"/>
    <w:rsid w:val="00FD6BE0"/>
    <w:rsid w:val="00FE14E8"/>
    <w:rsid w:val="00FE1DAC"/>
    <w:rsid w:val="00FE24C7"/>
    <w:rsid w:val="00FE4595"/>
    <w:rsid w:val="00FE621C"/>
    <w:rsid w:val="00FE674A"/>
    <w:rsid w:val="00FE6A6C"/>
    <w:rsid w:val="00FF1119"/>
    <w:rsid w:val="00FF26BF"/>
    <w:rsid w:val="00FF604E"/>
    <w:rsid w:val="00FF6CC4"/>
    <w:rsid w:val="00FF7CF2"/>
    <w:rsid w:val="011A0ED7"/>
    <w:rsid w:val="016C57AE"/>
    <w:rsid w:val="02356D8C"/>
    <w:rsid w:val="024B344F"/>
    <w:rsid w:val="033C5398"/>
    <w:rsid w:val="03A33EC1"/>
    <w:rsid w:val="046C5A24"/>
    <w:rsid w:val="047B71FF"/>
    <w:rsid w:val="04ED23F9"/>
    <w:rsid w:val="05301865"/>
    <w:rsid w:val="058E4B6B"/>
    <w:rsid w:val="05921FB2"/>
    <w:rsid w:val="05C71188"/>
    <w:rsid w:val="06BD6651"/>
    <w:rsid w:val="070168AD"/>
    <w:rsid w:val="07861428"/>
    <w:rsid w:val="07A174CB"/>
    <w:rsid w:val="07BE5A9D"/>
    <w:rsid w:val="07CA7449"/>
    <w:rsid w:val="08350D6B"/>
    <w:rsid w:val="09A57484"/>
    <w:rsid w:val="09C361B0"/>
    <w:rsid w:val="0A280437"/>
    <w:rsid w:val="0A4535DA"/>
    <w:rsid w:val="0A6F0BAC"/>
    <w:rsid w:val="0B3F7726"/>
    <w:rsid w:val="0B8003C3"/>
    <w:rsid w:val="0B85597F"/>
    <w:rsid w:val="0D010C23"/>
    <w:rsid w:val="0D8D29CB"/>
    <w:rsid w:val="0FB126B8"/>
    <w:rsid w:val="0FDA2615"/>
    <w:rsid w:val="10685029"/>
    <w:rsid w:val="10FB74EC"/>
    <w:rsid w:val="11874085"/>
    <w:rsid w:val="119F214B"/>
    <w:rsid w:val="11BF5650"/>
    <w:rsid w:val="124C409A"/>
    <w:rsid w:val="142669A3"/>
    <w:rsid w:val="15220288"/>
    <w:rsid w:val="1646419B"/>
    <w:rsid w:val="168F586C"/>
    <w:rsid w:val="16FE4530"/>
    <w:rsid w:val="172F68A1"/>
    <w:rsid w:val="175B36D4"/>
    <w:rsid w:val="176F19F9"/>
    <w:rsid w:val="18090C69"/>
    <w:rsid w:val="18793D1E"/>
    <w:rsid w:val="196A036B"/>
    <w:rsid w:val="19FE0A33"/>
    <w:rsid w:val="1A6C1067"/>
    <w:rsid w:val="1B5A71DA"/>
    <w:rsid w:val="1B6F3D5D"/>
    <w:rsid w:val="1D864D41"/>
    <w:rsid w:val="1E405050"/>
    <w:rsid w:val="1F045D66"/>
    <w:rsid w:val="1FC70A59"/>
    <w:rsid w:val="1FDB3A23"/>
    <w:rsid w:val="206D7BB1"/>
    <w:rsid w:val="208447C8"/>
    <w:rsid w:val="217527E5"/>
    <w:rsid w:val="230E380E"/>
    <w:rsid w:val="23E92242"/>
    <w:rsid w:val="242D09F1"/>
    <w:rsid w:val="256718FC"/>
    <w:rsid w:val="25C31B13"/>
    <w:rsid w:val="260D158A"/>
    <w:rsid w:val="262E2FDC"/>
    <w:rsid w:val="26E23723"/>
    <w:rsid w:val="26EF3957"/>
    <w:rsid w:val="277C22FA"/>
    <w:rsid w:val="279C5F0C"/>
    <w:rsid w:val="280D60BD"/>
    <w:rsid w:val="29437A2E"/>
    <w:rsid w:val="298D06E7"/>
    <w:rsid w:val="2A2630A6"/>
    <w:rsid w:val="2BD626B3"/>
    <w:rsid w:val="2C874189"/>
    <w:rsid w:val="2C921E2C"/>
    <w:rsid w:val="2CC66E03"/>
    <w:rsid w:val="2D3B6DC2"/>
    <w:rsid w:val="2E3859E0"/>
    <w:rsid w:val="2EBF6305"/>
    <w:rsid w:val="2F00322A"/>
    <w:rsid w:val="30095298"/>
    <w:rsid w:val="31405449"/>
    <w:rsid w:val="317F3195"/>
    <w:rsid w:val="322B600D"/>
    <w:rsid w:val="32C60A1A"/>
    <w:rsid w:val="32CA3260"/>
    <w:rsid w:val="32F6606D"/>
    <w:rsid w:val="34984755"/>
    <w:rsid w:val="349E1EE2"/>
    <w:rsid w:val="35A61FCC"/>
    <w:rsid w:val="37090CD6"/>
    <w:rsid w:val="373C7CF7"/>
    <w:rsid w:val="389A7579"/>
    <w:rsid w:val="390C0E95"/>
    <w:rsid w:val="3A2F07E2"/>
    <w:rsid w:val="3B011BDC"/>
    <w:rsid w:val="3B29751D"/>
    <w:rsid w:val="3B7C1F32"/>
    <w:rsid w:val="3BFD046C"/>
    <w:rsid w:val="3C676344"/>
    <w:rsid w:val="3CF44A2B"/>
    <w:rsid w:val="3E04394C"/>
    <w:rsid w:val="3E0C2AD8"/>
    <w:rsid w:val="3EAF122F"/>
    <w:rsid w:val="3F040500"/>
    <w:rsid w:val="3F2F4DE1"/>
    <w:rsid w:val="401F09B1"/>
    <w:rsid w:val="40480AB6"/>
    <w:rsid w:val="420B5FBB"/>
    <w:rsid w:val="43E70217"/>
    <w:rsid w:val="447D31D0"/>
    <w:rsid w:val="44CD05ED"/>
    <w:rsid w:val="48B37734"/>
    <w:rsid w:val="48BA13BF"/>
    <w:rsid w:val="497042C3"/>
    <w:rsid w:val="4978051F"/>
    <w:rsid w:val="49ED3F25"/>
    <w:rsid w:val="4A3B6D9A"/>
    <w:rsid w:val="4A9E67FA"/>
    <w:rsid w:val="4B6468D1"/>
    <w:rsid w:val="4C090AAC"/>
    <w:rsid w:val="4C3A381B"/>
    <w:rsid w:val="4C7D749C"/>
    <w:rsid w:val="4CA21A31"/>
    <w:rsid w:val="4EC549CB"/>
    <w:rsid w:val="4EC74D90"/>
    <w:rsid w:val="4EE64EEC"/>
    <w:rsid w:val="4F3B5D5D"/>
    <w:rsid w:val="4F4B7D76"/>
    <w:rsid w:val="4FF874E6"/>
    <w:rsid w:val="50812FC2"/>
    <w:rsid w:val="50C75131"/>
    <w:rsid w:val="51486C69"/>
    <w:rsid w:val="526B7CC5"/>
    <w:rsid w:val="52842DED"/>
    <w:rsid w:val="52CA1363"/>
    <w:rsid w:val="53BB2150"/>
    <w:rsid w:val="542E1376"/>
    <w:rsid w:val="545776F8"/>
    <w:rsid w:val="547A5E18"/>
    <w:rsid w:val="54815C87"/>
    <w:rsid w:val="54D8352B"/>
    <w:rsid w:val="55110DB9"/>
    <w:rsid w:val="554F316F"/>
    <w:rsid w:val="55E40E17"/>
    <w:rsid w:val="565133D1"/>
    <w:rsid w:val="56836809"/>
    <w:rsid w:val="56F420C4"/>
    <w:rsid w:val="574D27A4"/>
    <w:rsid w:val="578C4726"/>
    <w:rsid w:val="57C16588"/>
    <w:rsid w:val="57C62865"/>
    <w:rsid w:val="57E75E01"/>
    <w:rsid w:val="59026753"/>
    <w:rsid w:val="592D6496"/>
    <w:rsid w:val="5A3169DE"/>
    <w:rsid w:val="5B746998"/>
    <w:rsid w:val="5CD31049"/>
    <w:rsid w:val="5E231B66"/>
    <w:rsid w:val="5E7F1453"/>
    <w:rsid w:val="5F184590"/>
    <w:rsid w:val="5F7C265F"/>
    <w:rsid w:val="615E215B"/>
    <w:rsid w:val="61786679"/>
    <w:rsid w:val="62C7181E"/>
    <w:rsid w:val="634A4773"/>
    <w:rsid w:val="63960BF2"/>
    <w:rsid w:val="64BD6456"/>
    <w:rsid w:val="64C6485A"/>
    <w:rsid w:val="64DC46F1"/>
    <w:rsid w:val="6518584B"/>
    <w:rsid w:val="65A155DF"/>
    <w:rsid w:val="65D703EF"/>
    <w:rsid w:val="65E46DA8"/>
    <w:rsid w:val="65E63742"/>
    <w:rsid w:val="66212DCA"/>
    <w:rsid w:val="66990C0E"/>
    <w:rsid w:val="66AA6128"/>
    <w:rsid w:val="67554E15"/>
    <w:rsid w:val="68B83EF1"/>
    <w:rsid w:val="694E5574"/>
    <w:rsid w:val="69FF4CF8"/>
    <w:rsid w:val="6C621FDF"/>
    <w:rsid w:val="6CE82EAD"/>
    <w:rsid w:val="6D6C5205"/>
    <w:rsid w:val="6E52512E"/>
    <w:rsid w:val="6E7939FA"/>
    <w:rsid w:val="6F8E0550"/>
    <w:rsid w:val="73D9089C"/>
    <w:rsid w:val="7470113F"/>
    <w:rsid w:val="74D8263E"/>
    <w:rsid w:val="75405E3B"/>
    <w:rsid w:val="75BF3144"/>
    <w:rsid w:val="75DC0B17"/>
    <w:rsid w:val="75E87246"/>
    <w:rsid w:val="770E4A0E"/>
    <w:rsid w:val="77A9581A"/>
    <w:rsid w:val="78090A2E"/>
    <w:rsid w:val="7A4B7F17"/>
    <w:rsid w:val="7A9463D2"/>
    <w:rsid w:val="7A9D6FB6"/>
    <w:rsid w:val="7AB977F9"/>
    <w:rsid w:val="7BF26E13"/>
    <w:rsid w:val="7C6020F4"/>
    <w:rsid w:val="7C8810B1"/>
    <w:rsid w:val="7CAE1DDF"/>
    <w:rsid w:val="7CBB152F"/>
    <w:rsid w:val="7D74427B"/>
    <w:rsid w:val="7EE56313"/>
    <w:rsid w:val="7FA31F0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qFormat="1"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9"/>
    <w:qFormat/>
    <w:uiPriority w:val="9"/>
    <w:pPr>
      <w:spacing w:line="360" w:lineRule="auto"/>
      <w:jc w:val="center"/>
      <w:outlineLvl w:val="0"/>
    </w:pPr>
    <w:rPr>
      <w:b/>
      <w:sz w:val="36"/>
      <w:szCs w:val="36"/>
    </w:rPr>
  </w:style>
  <w:style w:type="paragraph" w:styleId="3">
    <w:name w:val="heading 2"/>
    <w:basedOn w:val="1"/>
    <w:next w:val="1"/>
    <w:link w:val="32"/>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0"/>
    <w:semiHidden/>
    <w:unhideWhenUsed/>
    <w:qFormat/>
    <w:uiPriority w:val="9"/>
    <w:pPr>
      <w:keepNext/>
      <w:keepLines/>
      <w:spacing w:before="260" w:after="260" w:line="416" w:lineRule="auto"/>
      <w:outlineLvl w:val="2"/>
    </w:pPr>
    <w:rPr>
      <w:b/>
      <w:bCs/>
      <w:sz w:val="32"/>
      <w:szCs w:val="32"/>
    </w:rPr>
  </w:style>
  <w:style w:type="character" w:default="1" w:styleId="23">
    <w:name w:val="Default Paragraph Font"/>
    <w:semiHidden/>
    <w:unhideWhenUsed/>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41"/>
    <w:qFormat/>
    <w:uiPriority w:val="99"/>
    <w:pPr>
      <w:autoSpaceDE w:val="0"/>
      <w:autoSpaceDN w:val="0"/>
      <w:adjustRightInd w:val="0"/>
      <w:ind w:firstLine="420"/>
      <w:jc w:val="left"/>
    </w:pPr>
    <w:rPr>
      <w:rFonts w:ascii="宋体" w:hAnsi="Times New Roman" w:eastAsia="宋体" w:cs="Times New Roman"/>
      <w:sz w:val="24"/>
      <w:szCs w:val="24"/>
    </w:rPr>
  </w:style>
  <w:style w:type="paragraph" w:styleId="6">
    <w:name w:val="Document Map"/>
    <w:basedOn w:val="1"/>
    <w:link w:val="49"/>
    <w:semiHidden/>
    <w:unhideWhenUsed/>
    <w:qFormat/>
    <w:uiPriority w:val="99"/>
    <w:rPr>
      <w:rFonts w:ascii="宋体" w:eastAsia="宋体"/>
      <w:sz w:val="18"/>
      <w:szCs w:val="18"/>
    </w:rPr>
  </w:style>
  <w:style w:type="paragraph" w:styleId="7">
    <w:name w:val="annotation text"/>
    <w:basedOn w:val="1"/>
    <w:link w:val="36"/>
    <w:qFormat/>
    <w:uiPriority w:val="99"/>
    <w:pPr>
      <w:jc w:val="left"/>
    </w:pPr>
    <w:rPr>
      <w:rFonts w:ascii="Times New Roman" w:hAnsi="Times New Roman" w:eastAsia="宋体" w:cs="Times New Roman"/>
      <w:szCs w:val="24"/>
    </w:rPr>
  </w:style>
  <w:style w:type="paragraph" w:styleId="8">
    <w:name w:val="Body Text"/>
    <w:basedOn w:val="1"/>
    <w:next w:val="1"/>
    <w:link w:val="31"/>
    <w:qFormat/>
    <w:uiPriority w:val="0"/>
    <w:pPr>
      <w:tabs>
        <w:tab w:val="left" w:pos="567"/>
      </w:tabs>
      <w:spacing w:before="120" w:line="22" w:lineRule="atLeast"/>
    </w:pPr>
    <w:rPr>
      <w:rFonts w:ascii="宋体" w:hAnsi="宋体" w:eastAsia="宋体" w:cs="Times New Roman"/>
      <w:sz w:val="24"/>
      <w:szCs w:val="24"/>
    </w:rPr>
  </w:style>
  <w:style w:type="paragraph" w:styleId="9">
    <w:name w:val="Body Text Indent"/>
    <w:basedOn w:val="1"/>
    <w:next w:val="1"/>
    <w:qFormat/>
    <w:uiPriority w:val="0"/>
    <w:pPr>
      <w:ind w:firstLine="640" w:firstLineChars="200"/>
    </w:pPr>
    <w:rPr>
      <w:rFonts w:ascii="仿宋_GB2312" w:hAnsi="Arial" w:eastAsia="仿宋_GB2312"/>
      <w:kern w:val="0"/>
      <w:sz w:val="32"/>
      <w:szCs w:val="32"/>
    </w:rPr>
  </w:style>
  <w:style w:type="paragraph" w:styleId="10">
    <w:name w:val="List 2"/>
    <w:basedOn w:val="1"/>
    <w:qFormat/>
    <w:uiPriority w:val="0"/>
    <w:pPr>
      <w:ind w:left="100" w:leftChars="200" w:hanging="200" w:hangingChars="200"/>
    </w:pPr>
    <w:rPr>
      <w:rFonts w:ascii="Times New Roman" w:hAnsi="Times New Roman" w:eastAsia="宋体" w:cs="Times New Roman"/>
      <w:szCs w:val="24"/>
    </w:rPr>
  </w:style>
  <w:style w:type="paragraph" w:styleId="11">
    <w:name w:val="Plain Text"/>
    <w:basedOn w:val="1"/>
    <w:next w:val="5"/>
    <w:link w:val="33"/>
    <w:qFormat/>
    <w:uiPriority w:val="99"/>
    <w:rPr>
      <w:rFonts w:hint="eastAsia" w:ascii="宋体" w:hAnsi="Courier New" w:eastAsia="宋体" w:cs="Times New Roman"/>
      <w:szCs w:val="20"/>
    </w:rPr>
  </w:style>
  <w:style w:type="paragraph" w:styleId="12">
    <w:name w:val="Balloon Text"/>
    <w:basedOn w:val="1"/>
    <w:link w:val="37"/>
    <w:unhideWhenUsed/>
    <w:qFormat/>
    <w:uiPriority w:val="0"/>
    <w:rPr>
      <w:sz w:val="18"/>
      <w:szCs w:val="18"/>
    </w:rPr>
  </w:style>
  <w:style w:type="paragraph" w:styleId="13">
    <w:name w:val="footer"/>
    <w:basedOn w:val="1"/>
    <w:link w:val="28"/>
    <w:unhideWhenUsed/>
    <w:qFormat/>
    <w:uiPriority w:val="0"/>
    <w:pPr>
      <w:tabs>
        <w:tab w:val="center" w:pos="4153"/>
        <w:tab w:val="right" w:pos="8306"/>
      </w:tabs>
      <w:snapToGrid w:val="0"/>
      <w:jc w:val="left"/>
    </w:pPr>
    <w:rPr>
      <w:sz w:val="18"/>
      <w:szCs w:val="18"/>
    </w:rPr>
  </w:style>
  <w:style w:type="paragraph" w:styleId="14">
    <w:name w:val="header"/>
    <w:basedOn w:val="1"/>
    <w:link w:val="27"/>
    <w:unhideWhenUsed/>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rPr>
      <w:rFonts w:ascii="宋体" w:hAnsi="宋体" w:eastAsia="宋体" w:cs="宋体"/>
      <w:b/>
      <w:sz w:val="32"/>
    </w:rPr>
  </w:style>
  <w:style w:type="paragraph" w:styleId="16">
    <w:name w:val="toc 4"/>
    <w:basedOn w:val="1"/>
    <w:next w:val="1"/>
    <w:semiHidden/>
    <w:unhideWhenUsed/>
    <w:qFormat/>
    <w:uiPriority w:val="39"/>
    <w:pPr>
      <w:ind w:left="1260" w:leftChars="600"/>
    </w:pPr>
  </w:style>
  <w:style w:type="paragraph" w:styleId="17">
    <w:name w:val="Normal (Web)"/>
    <w:basedOn w:val="1"/>
    <w:link w:val="47"/>
    <w:qFormat/>
    <w:uiPriority w:val="0"/>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8">
    <w:name w:val="annotation subject"/>
    <w:basedOn w:val="7"/>
    <w:next w:val="7"/>
    <w:link w:val="48"/>
    <w:semiHidden/>
    <w:unhideWhenUsed/>
    <w:qFormat/>
    <w:uiPriority w:val="99"/>
    <w:rPr>
      <w:rFonts w:asciiTheme="minorHAnsi" w:hAnsiTheme="minorHAnsi" w:eastAsiaTheme="minorEastAsia" w:cstheme="minorBidi"/>
      <w:b/>
      <w:bCs/>
      <w:szCs w:val="22"/>
    </w:rPr>
  </w:style>
  <w:style w:type="paragraph" w:styleId="19">
    <w:name w:val="Body Text First Indent"/>
    <w:basedOn w:val="8"/>
    <w:link w:val="50"/>
    <w:semiHidden/>
    <w:unhideWhenUsed/>
    <w:qFormat/>
    <w:uiPriority w:val="99"/>
    <w:pPr>
      <w:tabs>
        <w:tab w:val="clear" w:pos="567"/>
      </w:tabs>
      <w:spacing w:before="0" w:after="120" w:line="240" w:lineRule="auto"/>
      <w:ind w:firstLine="420" w:firstLineChars="100"/>
    </w:pPr>
    <w:rPr>
      <w:rFonts w:asciiTheme="minorHAnsi" w:hAnsiTheme="minorHAnsi" w:eastAsiaTheme="minorEastAsia" w:cstheme="minorBidi"/>
      <w:sz w:val="21"/>
      <w:szCs w:val="22"/>
    </w:rPr>
  </w:style>
  <w:style w:type="paragraph" w:styleId="20">
    <w:name w:val="Body Text First Indent 2"/>
    <w:basedOn w:val="9"/>
    <w:next w:val="1"/>
    <w:qFormat/>
    <w:uiPriority w:val="0"/>
    <w:pPr>
      <w:adjustRightInd w:val="0"/>
      <w:spacing w:after="120" w:line="360" w:lineRule="auto"/>
      <w:ind w:left="420" w:firstLine="420" w:firstLineChars="0"/>
      <w:textAlignment w:val="baseline"/>
    </w:pPr>
    <w:rPr>
      <w:color w:val="000000"/>
      <w:sz w:val="20"/>
    </w:rPr>
  </w:style>
  <w:style w:type="table" w:styleId="22">
    <w:name w:val="Table Grid"/>
    <w:basedOn w:val="21"/>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4">
    <w:name w:val="Strong"/>
    <w:basedOn w:val="23"/>
    <w:qFormat/>
    <w:uiPriority w:val="22"/>
    <w:rPr>
      <w:b/>
    </w:rPr>
  </w:style>
  <w:style w:type="character" w:styleId="25">
    <w:name w:val="Hyperlink"/>
    <w:qFormat/>
    <w:uiPriority w:val="99"/>
    <w:rPr>
      <w:color w:val="0000FF"/>
      <w:u w:val="single"/>
    </w:rPr>
  </w:style>
  <w:style w:type="character" w:styleId="26">
    <w:name w:val="annotation reference"/>
    <w:qFormat/>
    <w:uiPriority w:val="99"/>
    <w:rPr>
      <w:sz w:val="21"/>
      <w:szCs w:val="21"/>
    </w:rPr>
  </w:style>
  <w:style w:type="character" w:customStyle="1" w:styleId="27">
    <w:name w:val="页眉 Char"/>
    <w:basedOn w:val="23"/>
    <w:link w:val="14"/>
    <w:qFormat/>
    <w:uiPriority w:val="0"/>
    <w:rPr>
      <w:sz w:val="18"/>
      <w:szCs w:val="18"/>
    </w:rPr>
  </w:style>
  <w:style w:type="character" w:customStyle="1" w:styleId="28">
    <w:name w:val="页脚 Char"/>
    <w:basedOn w:val="23"/>
    <w:link w:val="13"/>
    <w:qFormat/>
    <w:uiPriority w:val="0"/>
    <w:rPr>
      <w:sz w:val="18"/>
      <w:szCs w:val="18"/>
    </w:rPr>
  </w:style>
  <w:style w:type="character" w:customStyle="1" w:styleId="29">
    <w:name w:val="标题 1 Char"/>
    <w:basedOn w:val="23"/>
    <w:link w:val="2"/>
    <w:qFormat/>
    <w:uiPriority w:val="9"/>
    <w:rPr>
      <w:b/>
      <w:sz w:val="36"/>
      <w:szCs w:val="36"/>
    </w:rPr>
  </w:style>
  <w:style w:type="character" w:customStyle="1" w:styleId="30">
    <w:name w:val="NormalCharacter"/>
    <w:qFormat/>
    <w:uiPriority w:val="0"/>
  </w:style>
  <w:style w:type="character" w:customStyle="1" w:styleId="31">
    <w:name w:val="正文文本 Char1"/>
    <w:basedOn w:val="23"/>
    <w:link w:val="8"/>
    <w:qFormat/>
    <w:uiPriority w:val="0"/>
    <w:rPr>
      <w:rFonts w:ascii="宋体" w:hAnsi="宋体" w:eastAsia="宋体" w:cs="Times New Roman"/>
      <w:sz w:val="24"/>
      <w:szCs w:val="24"/>
    </w:rPr>
  </w:style>
  <w:style w:type="character" w:customStyle="1" w:styleId="32">
    <w:name w:val="标题 2 Char"/>
    <w:basedOn w:val="23"/>
    <w:link w:val="3"/>
    <w:semiHidden/>
    <w:qFormat/>
    <w:uiPriority w:val="9"/>
    <w:rPr>
      <w:rFonts w:asciiTheme="majorHAnsi" w:hAnsiTheme="majorHAnsi" w:eastAsiaTheme="majorEastAsia" w:cstheme="majorBidi"/>
      <w:b/>
      <w:bCs/>
      <w:sz w:val="32"/>
      <w:szCs w:val="32"/>
    </w:rPr>
  </w:style>
  <w:style w:type="character" w:customStyle="1" w:styleId="33">
    <w:name w:val="纯文本 Char"/>
    <w:basedOn w:val="23"/>
    <w:link w:val="11"/>
    <w:qFormat/>
    <w:uiPriority w:val="0"/>
    <w:rPr>
      <w:rFonts w:ascii="宋体" w:hAnsi="Courier New" w:eastAsia="宋体" w:cs="Times New Roman"/>
      <w:szCs w:val="20"/>
    </w:rPr>
  </w:style>
  <w:style w:type="paragraph" w:styleId="34">
    <w:name w:val="List Paragraph"/>
    <w:basedOn w:val="1"/>
    <w:link w:val="39"/>
    <w:qFormat/>
    <w:uiPriority w:val="34"/>
    <w:pPr>
      <w:ind w:firstLine="420" w:firstLineChars="200"/>
    </w:pPr>
  </w:style>
  <w:style w:type="character" w:customStyle="1" w:styleId="35">
    <w:name w:val="批注文字 Char"/>
    <w:basedOn w:val="23"/>
    <w:qFormat/>
    <w:uiPriority w:val="99"/>
  </w:style>
  <w:style w:type="character" w:customStyle="1" w:styleId="36">
    <w:name w:val="批注文字 Char1"/>
    <w:link w:val="7"/>
    <w:qFormat/>
    <w:uiPriority w:val="99"/>
    <w:rPr>
      <w:kern w:val="2"/>
      <w:sz w:val="21"/>
      <w:szCs w:val="24"/>
    </w:rPr>
  </w:style>
  <w:style w:type="character" w:customStyle="1" w:styleId="37">
    <w:name w:val="批注框文本 Char"/>
    <w:basedOn w:val="23"/>
    <w:link w:val="12"/>
    <w:qFormat/>
    <w:uiPriority w:val="0"/>
    <w:rPr>
      <w:sz w:val="18"/>
      <w:szCs w:val="18"/>
    </w:rPr>
  </w:style>
  <w:style w:type="paragraph" w:customStyle="1" w:styleId="38">
    <w:name w:val="图例"/>
    <w:basedOn w:val="1"/>
    <w:qFormat/>
    <w:uiPriority w:val="0"/>
    <w:pPr>
      <w:spacing w:before="120" w:after="120" w:line="360" w:lineRule="auto"/>
      <w:jc w:val="center"/>
    </w:pPr>
    <w:rPr>
      <w:rFonts w:ascii="Times New Roman" w:hAnsi="Times New Roman" w:eastAsia="仿宋_GB2312" w:cs="Times New Roman"/>
      <w:b/>
      <w:sz w:val="24"/>
      <w:szCs w:val="20"/>
    </w:rPr>
  </w:style>
  <w:style w:type="character" w:customStyle="1" w:styleId="39">
    <w:name w:val="列出段落 Char"/>
    <w:link w:val="34"/>
    <w:qFormat/>
    <w:uiPriority w:val="34"/>
  </w:style>
  <w:style w:type="character" w:customStyle="1" w:styleId="40">
    <w:name w:val="标题 3 Char"/>
    <w:basedOn w:val="23"/>
    <w:link w:val="4"/>
    <w:semiHidden/>
    <w:qFormat/>
    <w:uiPriority w:val="9"/>
    <w:rPr>
      <w:b/>
      <w:bCs/>
      <w:sz w:val="32"/>
      <w:szCs w:val="32"/>
    </w:rPr>
  </w:style>
  <w:style w:type="character" w:customStyle="1" w:styleId="41">
    <w:name w:val="正文缩进 Char"/>
    <w:link w:val="5"/>
    <w:qFormat/>
    <w:uiPriority w:val="99"/>
    <w:rPr>
      <w:rFonts w:ascii="宋体" w:hAnsi="Times New Roman" w:eastAsia="宋体" w:cs="Times New Roman"/>
      <w:sz w:val="24"/>
      <w:szCs w:val="24"/>
    </w:rPr>
  </w:style>
  <w:style w:type="paragraph" w:customStyle="1" w:styleId="42">
    <w:name w:val="Table Paragraph"/>
    <w:basedOn w:val="1"/>
    <w:qFormat/>
    <w:uiPriority w:val="1"/>
    <w:pPr>
      <w:autoSpaceDE w:val="0"/>
      <w:autoSpaceDN w:val="0"/>
      <w:jc w:val="left"/>
    </w:pPr>
    <w:rPr>
      <w:rFonts w:ascii="宋体" w:hAnsi="宋体" w:eastAsia="宋体" w:cs="宋体"/>
      <w:kern w:val="0"/>
      <w:sz w:val="22"/>
      <w:lang w:eastAsia="en-US"/>
    </w:rPr>
  </w:style>
  <w:style w:type="paragraph" w:customStyle="1" w:styleId="43">
    <w:name w:val="179"/>
    <w:basedOn w:val="1"/>
    <w:qFormat/>
    <w:uiPriority w:val="0"/>
    <w:pPr>
      <w:ind w:firstLine="420" w:firstLineChars="200"/>
    </w:pPr>
    <w:rPr>
      <w:rFonts w:ascii="Calibri" w:hAnsi="Calibri" w:eastAsia="宋体" w:cs="Times New Roman"/>
    </w:rPr>
  </w:style>
  <w:style w:type="paragraph" w:customStyle="1" w:styleId="44">
    <w:name w:val="成文日期"/>
    <w:basedOn w:val="1"/>
    <w:link w:val="45"/>
    <w:qFormat/>
    <w:uiPriority w:val="0"/>
    <w:pPr>
      <w:spacing w:line="570" w:lineRule="exact"/>
      <w:ind w:right="400" w:rightChars="400" w:firstLine="200" w:firstLineChars="200"/>
      <w:jc w:val="right"/>
    </w:pPr>
    <w:rPr>
      <w:rFonts w:ascii="仿宋_GB2312" w:hAnsi="Times New Roman" w:eastAsia="仿宋_GB2312" w:cs="Times New Roman"/>
      <w:sz w:val="32"/>
      <w:szCs w:val="20"/>
    </w:rPr>
  </w:style>
  <w:style w:type="character" w:customStyle="1" w:styleId="45">
    <w:name w:val="成文日期 Char"/>
    <w:link w:val="44"/>
    <w:qFormat/>
    <w:uiPriority w:val="0"/>
    <w:rPr>
      <w:rFonts w:ascii="仿宋_GB2312" w:hAnsi="Times New Roman" w:eastAsia="仿宋_GB2312" w:cs="Times New Roman"/>
      <w:sz w:val="32"/>
      <w:szCs w:val="20"/>
    </w:rPr>
  </w:style>
  <w:style w:type="paragraph" w:customStyle="1" w:styleId="46">
    <w:name w:val="Plain Text1"/>
    <w:next w:val="16"/>
    <w:qFormat/>
    <w:uiPriority w:val="0"/>
    <w:pPr>
      <w:widowControl w:val="0"/>
      <w:adjustRightInd w:val="0"/>
      <w:jc w:val="both"/>
      <w:textAlignment w:val="baseline"/>
    </w:pPr>
    <w:rPr>
      <w:rFonts w:ascii="宋体" w:hAnsi="宋体" w:eastAsia="楷体_GB2312" w:cs="Times New Roman"/>
      <w:kern w:val="2"/>
      <w:sz w:val="26"/>
      <w:szCs w:val="22"/>
      <w:lang w:val="en-US" w:eastAsia="zh-CN" w:bidi="ar-SA"/>
    </w:rPr>
  </w:style>
  <w:style w:type="character" w:customStyle="1" w:styleId="47">
    <w:name w:val="普通(网站) Char"/>
    <w:link w:val="17"/>
    <w:qFormat/>
    <w:uiPriority w:val="99"/>
    <w:rPr>
      <w:rFonts w:ascii="Arial Unicode MS" w:hAnsi="Arial Unicode MS" w:eastAsia="Arial Unicode MS" w:cs="Arial Unicode MS"/>
      <w:kern w:val="0"/>
      <w:sz w:val="24"/>
      <w:szCs w:val="24"/>
    </w:rPr>
  </w:style>
  <w:style w:type="character" w:customStyle="1" w:styleId="48">
    <w:name w:val="批注主题 Char"/>
    <w:basedOn w:val="36"/>
    <w:link w:val="18"/>
    <w:semiHidden/>
    <w:qFormat/>
    <w:uiPriority w:val="99"/>
    <w:rPr>
      <w:rFonts w:ascii="Times New Roman" w:hAnsi="Times New Roman" w:eastAsia="宋体" w:cs="Times New Roman"/>
      <w:b/>
      <w:bCs/>
      <w:kern w:val="2"/>
      <w:sz w:val="21"/>
      <w:szCs w:val="24"/>
    </w:rPr>
  </w:style>
  <w:style w:type="character" w:customStyle="1" w:styleId="49">
    <w:name w:val="文档结构图 Char"/>
    <w:basedOn w:val="23"/>
    <w:link w:val="6"/>
    <w:semiHidden/>
    <w:qFormat/>
    <w:uiPriority w:val="99"/>
    <w:rPr>
      <w:rFonts w:ascii="宋体" w:eastAsia="宋体"/>
      <w:sz w:val="18"/>
      <w:szCs w:val="18"/>
    </w:rPr>
  </w:style>
  <w:style w:type="character" w:customStyle="1" w:styleId="50">
    <w:name w:val="正文首行缩进 Char"/>
    <w:basedOn w:val="31"/>
    <w:link w:val="19"/>
    <w:semiHidden/>
    <w:qFormat/>
    <w:uiPriority w:val="99"/>
    <w:rPr>
      <w:rFonts w:ascii="宋体" w:hAnsi="宋体" w:eastAsia="宋体" w:cs="Times New Roman"/>
      <w:kern w:val="2"/>
      <w:sz w:val="21"/>
      <w:szCs w:val="22"/>
    </w:rPr>
  </w:style>
  <w:style w:type="character" w:customStyle="1" w:styleId="51">
    <w:name w:val="列出段落 Char1"/>
    <w:qFormat/>
    <w:uiPriority w:val="34"/>
    <w:rPr>
      <w:rFonts w:ascii="Calibri" w:hAnsi="Calibri" w:eastAsia="宋体"/>
      <w:kern w:val="2"/>
      <w:sz w:val="21"/>
      <w:szCs w:val="22"/>
      <w:lang w:val="en-US" w:eastAsia="zh-CN" w:bidi="ar-SA"/>
    </w:rPr>
  </w:style>
  <w:style w:type="paragraph" w:customStyle="1" w:styleId="52">
    <w:name w:val="纯文本1"/>
    <w:next w:val="16"/>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53">
    <w:name w:val="正文 A"/>
    <w:qFormat/>
    <w:uiPriority w:val="0"/>
    <w:pPr>
      <w:widowControl w:val="0"/>
      <w:jc w:val="both"/>
    </w:pPr>
    <w:rPr>
      <w:rFonts w:ascii="Calibri" w:hAnsi="Calibri" w:eastAsia="Times New Roman" w:cs="Times New Roman"/>
      <w:color w:val="000000"/>
      <w:kern w:val="2"/>
      <w:sz w:val="21"/>
      <w:szCs w:val="21"/>
      <w:lang w:val="en-US" w:eastAsia="zh-CN" w:bidi="ar-SA"/>
    </w:rPr>
  </w:style>
  <w:style w:type="character" w:customStyle="1" w:styleId="54">
    <w:name w:val="正文文本 Char"/>
    <w:qFormat/>
    <w:uiPriority w:val="0"/>
    <w:rPr>
      <w:rFonts w:ascii="宋体" w:hAnsi="宋体" w:eastAsia="宋体" w:cs="Times New Roman"/>
      <w:sz w:val="24"/>
      <w:szCs w:val="24"/>
    </w:rPr>
  </w:style>
  <w:style w:type="paragraph" w:customStyle="1" w:styleId="5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6">
    <w:name w:val="修订1"/>
    <w:hidden/>
    <w:unhideWhenUsed/>
    <w:qFormat/>
    <w:uiPriority w:val="99"/>
    <w:rPr>
      <w:rFonts w:asciiTheme="minorHAnsi" w:hAnsiTheme="minorHAnsi" w:eastAsiaTheme="minorEastAsia" w:cstheme="minorBidi"/>
      <w:kern w:val="2"/>
      <w:sz w:val="21"/>
      <w:szCs w:val="22"/>
      <w:lang w:val="en-US" w:eastAsia="zh-CN" w:bidi="ar-SA"/>
    </w:rPr>
  </w:style>
  <w:style w:type="table" w:customStyle="1" w:styleId="57">
    <w:name w:val="Table Normal"/>
    <w:semiHidden/>
    <w:unhideWhenUsed/>
    <w:qFormat/>
    <w:uiPriority w:val="0"/>
    <w:tblPr>
      <w:tblCellMar>
        <w:top w:w="0" w:type="dxa"/>
        <w:left w:w="0" w:type="dxa"/>
        <w:bottom w:w="0" w:type="dxa"/>
        <w:right w:w="0" w:type="dxa"/>
      </w:tblCellMar>
    </w:tblPr>
  </w:style>
  <w:style w:type="character" w:customStyle="1" w:styleId="58">
    <w:name w:val="列表段落 字符1"/>
    <w:qFormat/>
    <w:uiPriority w:val="34"/>
  </w:style>
  <w:style w:type="paragraph" w:customStyle="1" w:styleId="59">
    <w:name w:val="修订2"/>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60">
    <w:name w:val="font31"/>
    <w:basedOn w:val="23"/>
    <w:qFormat/>
    <w:uiPriority w:val="0"/>
    <w:rPr>
      <w:rFonts w:hint="eastAsia" w:ascii="宋体" w:hAnsi="宋体" w:eastAsia="宋体" w:cs="宋体"/>
      <w:color w:val="000000"/>
      <w:sz w:val="18"/>
      <w:szCs w:val="18"/>
      <w:u w:val="none"/>
    </w:rPr>
  </w:style>
  <w:style w:type="character" w:customStyle="1" w:styleId="61">
    <w:name w:val="批注文字 字符1"/>
    <w:qFormat/>
    <w:uiPriority w:val="99"/>
    <w:rPr>
      <w:kern w:val="2"/>
      <w:sz w:val="21"/>
      <w:szCs w:val="24"/>
    </w:rPr>
  </w:style>
  <w:style w:type="paragraph" w:customStyle="1" w:styleId="62">
    <w:name w:val="修订3"/>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63">
    <w:name w:val="font41"/>
    <w:qFormat/>
    <w:uiPriority w:val="0"/>
    <w:rPr>
      <w:rFonts w:hint="eastAsia" w:ascii="黑体" w:hAnsi="宋体" w:eastAsia="黑体" w:cs="黑体"/>
      <w:color w:val="000000"/>
      <w:sz w:val="21"/>
      <w:szCs w:val="21"/>
      <w:u w:val="none"/>
    </w:rPr>
  </w:style>
  <w:style w:type="character" w:customStyle="1" w:styleId="64">
    <w:name w:val="font01"/>
    <w:qFormat/>
    <w:uiPriority w:val="0"/>
    <w:rPr>
      <w:rFonts w:hint="eastAsia" w:ascii="宋体" w:hAnsi="宋体" w:eastAsia="宋体" w:cs="宋体"/>
      <w:color w:val="000000"/>
      <w:sz w:val="18"/>
      <w:szCs w:val="18"/>
      <w:u w:val="none"/>
    </w:rPr>
  </w:style>
  <w:style w:type="paragraph" w:customStyle="1" w:styleId="65">
    <w:name w:val="UserStyle_82"/>
    <w:qFormat/>
    <w:uiPriority w:val="0"/>
    <w:pPr>
      <w:textAlignment w:val="baseline"/>
    </w:pPr>
    <w:rPr>
      <w:rFonts w:ascii="宋体" w:hAnsi="Times New Roman" w:eastAsia="宋体" w:cs="Times New Roman"/>
      <w:color w:val="000000"/>
      <w:sz w:val="24"/>
      <w:szCs w:val="24"/>
      <w:lang w:val="en-US" w:eastAsia="zh-CN" w:bidi="ar-SA"/>
    </w:rPr>
  </w:style>
  <w:style w:type="paragraph" w:customStyle="1" w:styleId="66">
    <w:name w:val="修订4"/>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67">
    <w:name w:val="正文首行缩进 21"/>
    <w:basedOn w:val="68"/>
    <w:qFormat/>
    <w:uiPriority w:val="0"/>
    <w:pPr>
      <w:spacing w:after="120" w:line="480" w:lineRule="exact"/>
      <w:ind w:left="420" w:firstLine="420"/>
    </w:pPr>
    <w:rPr>
      <w:szCs w:val="20"/>
    </w:rPr>
  </w:style>
  <w:style w:type="paragraph" w:customStyle="1" w:styleId="68">
    <w:name w:val="正文文本缩进11"/>
    <w:basedOn w:val="1"/>
    <w:next w:val="1"/>
    <w:qFormat/>
    <w:uiPriority w:val="0"/>
    <w:pPr>
      <w:spacing w:line="360" w:lineRule="auto"/>
      <w:ind w:firstLine="570"/>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1E69B2-0CE0-4FC1-8868-DAE3E68805D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58</Pages>
  <Words>12088</Words>
  <Characters>12624</Characters>
  <Lines>222</Lines>
  <Paragraphs>62</Paragraphs>
  <TotalTime>22</TotalTime>
  <ScaleCrop>false</ScaleCrop>
  <LinksUpToDate>false</LinksUpToDate>
  <CharactersWithSpaces>12730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2025-12-08T02:13:00Z</dcterms:created>
  <dc:creator>Administrator</dc:creator>
  <cp:lastModifiedBy>YH</cp:lastModifiedBy>
  <cp:lastPrinted>2024-06-04T06:16:00Z</cp:lastPrinted>
  <dcterms:modified xsi:type="dcterms:W3CDTF">2025-12-11T03:07:33Z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5FEFECE21D2C4FA6B6D381A3CE1D12D4_13</vt:lpwstr>
  </property>
  <property fmtid="{D5CDD505-2E9C-101B-9397-08002B2CF9AE}" pid="4" name="KSOTemplateDocerSaveRecord">
    <vt:lpwstr>eyJoZGlkIjoiYWJkZjBhZjViNDBlOWQyZTllMDk4MzdmMWMyNjRiZDciLCJ1c2VySWQiOiI0NjU4NTEzMTAifQ==</vt:lpwstr>
  </property>
</Properties>
</file>